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10"/>
        <w:spacing w:before="0"/>
        <w:tabs>
          <w:tab w:val="left" w:pos="6946" w:leader="none"/>
          <w:tab w:val="clear" w:pos="7371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Cs w:val="28"/>
        </w:rPr>
        <w:tab/>
        <w:t xml:space="preserve">№ </w:t>
      </w:r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</w:p>
    <w:p>
      <w:pPr>
        <w:pStyle w:val="1010"/>
        <w:spacing w:before="0"/>
        <w:tabs>
          <w:tab w:val="left" w:pos="6946" w:leader="none"/>
          <w:tab w:val="clear" w:pos="7371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</w:p>
    <w:p>
      <w:pPr>
        <w:ind w:firstLine="0"/>
        <w:shd w:val="clear" w:color="auto" w:fill="ffffff"/>
        <w:tabs>
          <w:tab w:val="left" w:pos="1134" w:leader="none"/>
          <w:tab w:val="left" w:pos="1418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right="-1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в постановление Администрации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right="-1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 от </w:t>
      </w:r>
      <w:r>
        <w:rPr>
          <w:rFonts w:ascii="PT Astra Serif" w:hAnsi="PT Astra Serif"/>
          <w:sz w:val="28"/>
          <w:szCs w:val="28"/>
        </w:rPr>
        <w:t xml:space="preserve">30.01.2026</w:t>
      </w:r>
      <w:r>
        <w:rPr>
          <w:rFonts w:ascii="PT Astra Serif" w:hAnsi="PT Astra Serif"/>
          <w:sz w:val="28"/>
          <w:szCs w:val="28"/>
        </w:rPr>
        <w:t xml:space="preserve"> № </w:t>
      </w:r>
      <w:r>
        <w:rPr>
          <w:rFonts w:ascii="PT Astra Serif" w:hAnsi="PT Astra Serif"/>
          <w:sz w:val="28"/>
          <w:szCs w:val="28"/>
        </w:rPr>
        <w:t xml:space="preserve">27а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right="4677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right="4677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частью 5 статьи 20 Закона Томской области от 7 марта 2002 </w:t>
      </w:r>
      <w:r>
        <w:rPr>
          <w:rFonts w:ascii="PT Astra Serif" w:hAnsi="PT Astra Serif"/>
          <w:sz w:val="28"/>
          <w:szCs w:val="28"/>
        </w:rPr>
        <w:t xml:space="preserve">года № 9-ОЗ «О нормативных правовых актах Томской области»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spacing w:before="60"/>
        <w:tabs>
          <w:tab w:val="left" w:pos="7088" w:leader="none"/>
        </w:tabs>
        <w:rPr>
          <w:rFonts w:ascii="PT Astra Serif" w:hAnsi="PT Astra Serif"/>
          <w:spacing w:val="10"/>
          <w:sz w:val="28"/>
          <w:szCs w:val="28"/>
        </w:rPr>
      </w:pPr>
      <w:r>
        <w:rPr>
          <w:rFonts w:ascii="PT Astra Serif" w:hAnsi="PT Astra Serif"/>
          <w:spacing w:val="10"/>
          <w:sz w:val="28"/>
          <w:szCs w:val="28"/>
        </w:rPr>
        <w:t xml:space="preserve">ПОСТАНОВЛЯ</w:t>
      </w:r>
      <w:r>
        <w:rPr>
          <w:rFonts w:ascii="PT Astra Serif" w:hAnsi="PT Astra Serif"/>
          <w:spacing w:val="10"/>
          <w:sz w:val="28"/>
          <w:szCs w:val="28"/>
        </w:rPr>
        <w:t xml:space="preserve">ЕТ:</w:t>
      </w:r>
      <w:r>
        <w:rPr>
          <w:rFonts w:ascii="PT Astra Serif" w:hAnsi="PT Astra Serif"/>
          <w:spacing w:val="10"/>
          <w:sz w:val="28"/>
          <w:szCs w:val="28"/>
        </w:rPr>
      </w:r>
      <w:r>
        <w:rPr>
          <w:rFonts w:ascii="PT Astra Serif" w:hAnsi="PT Astra Serif"/>
          <w:spacing w:val="10"/>
          <w:sz w:val="28"/>
          <w:szCs w:val="28"/>
        </w:rPr>
      </w:r>
    </w:p>
    <w:p>
      <w:pPr>
        <w:pStyle w:val="1016"/>
        <w:ind w:firstLine="709"/>
        <w:jc w:val="both"/>
        <w:spacing w:before="0" w:after="0"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 Внести в постановление Администрации Томской области от </w:t>
      </w:r>
      <w:r>
        <w:rPr>
          <w:rFonts w:ascii="PT Astra Serif" w:hAnsi="PT Astra Serif"/>
          <w:sz w:val="28"/>
          <w:szCs w:val="28"/>
        </w:rPr>
        <w:t xml:space="preserve">30.01.2026</w:t>
      </w:r>
      <w:r>
        <w:rPr>
          <w:rFonts w:ascii="PT Astra Serif" w:hAnsi="PT Astra Serif"/>
          <w:sz w:val="28"/>
          <w:szCs w:val="28"/>
        </w:rPr>
        <w:t xml:space="preserve"> № </w:t>
      </w:r>
      <w:r>
        <w:rPr>
          <w:rFonts w:ascii="PT Astra Serif" w:hAnsi="PT Astra Serif"/>
          <w:sz w:val="28"/>
          <w:szCs w:val="28"/>
        </w:rPr>
        <w:t xml:space="preserve">27</w:t>
      </w:r>
      <w:r>
        <w:rPr>
          <w:rFonts w:ascii="PT Astra Serif" w:hAnsi="PT Astra Serif"/>
          <w:sz w:val="28"/>
          <w:szCs w:val="28"/>
        </w:rPr>
        <w:t xml:space="preserve">а «</w:t>
      </w:r>
      <w:r>
        <w:rPr>
          <w:rFonts w:ascii="PT Astra Serif" w:hAnsi="PT Astra Serif"/>
          <w:sz w:val="28"/>
          <w:szCs w:val="28"/>
          <w:lang w:eastAsia="ru-RU"/>
        </w:rPr>
        <w:t xml:space="preserve">О мерах социальной поддержки отдельных категорий граждан, участвующих в специальной военной операции» (Собрание законодательства Томской области, 2026 № 2/2 (376)</w:t>
      </w:r>
      <w:r>
        <w:rPr>
          <w:rFonts w:ascii="PT Astra Serif" w:hAnsi="PT Astra Serif"/>
          <w:sz w:val="28"/>
          <w:szCs w:val="28"/>
        </w:rPr>
        <w:t xml:space="preserve"> следующие изменения: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>
        <w:rPr>
          <w:rFonts w:ascii="PT Astra Serif" w:hAnsi="PT Astra Serif"/>
          <w:sz w:val="28"/>
          <w:szCs w:val="28"/>
        </w:rPr>
        <w:t xml:space="preserve">пункты 1-2</w:t>
      </w:r>
      <w:r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«1. Установить денежную выплату гражданам Российской Федерации, иностранным гражданам (далее - граждане):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заключившим с 01.01.2023 по 31.08.2023 контракт с Вооруженными Силами Российской Федерации о добровольном участии в специальной военной операции на</w:t>
      </w:r>
      <w:r>
        <w:rPr>
          <w:rFonts w:ascii="PT Astra Serif" w:hAnsi="PT Astra Serif"/>
          <w:sz w:val="28"/>
          <w:szCs w:val="28"/>
        </w:rPr>
        <w:t xml:space="preserve"> территориях Украины, Донецкой Народной Республики, Луганской Народной Республики, Херсонской и Запорожской областей (далее - контракт), за исключением лиц, добровольно заключивших контракт для прохождения военной службы в именном батальоне материального о</w:t>
      </w:r>
      <w:r>
        <w:rPr>
          <w:rFonts w:ascii="PT Astra Serif" w:hAnsi="PT Astra Serif"/>
          <w:sz w:val="28"/>
          <w:szCs w:val="28"/>
        </w:rPr>
        <w:t xml:space="preserve">беспечения «</w:t>
      </w:r>
      <w:r>
        <w:rPr>
          <w:rFonts w:ascii="PT Astra Serif" w:hAnsi="PT Astra Serif"/>
          <w:sz w:val="28"/>
          <w:szCs w:val="28"/>
        </w:rPr>
        <w:t xml:space="preserve">Тоян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, контракт для прохождения вое</w:t>
      </w:r>
      <w:r>
        <w:rPr>
          <w:rFonts w:ascii="PT Astra Serif" w:hAnsi="PT Astra Serif"/>
          <w:sz w:val="28"/>
          <w:szCs w:val="28"/>
        </w:rPr>
        <w:t xml:space="preserve">нной службы в штурмовом отряде «</w:t>
      </w:r>
      <w:r>
        <w:rPr>
          <w:rFonts w:ascii="PT Astra Serif" w:hAnsi="PT Astra Serif"/>
          <w:sz w:val="28"/>
          <w:szCs w:val="28"/>
        </w:rPr>
        <w:t xml:space="preserve">Васюган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, в размере 100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 рублей;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заключившим с 01.09.2023 по 31.07.2024 контракт, за исключением лиц, добровольно заключивших контракт для прохождения военной службы в именном батал</w:t>
      </w:r>
      <w:r>
        <w:rPr>
          <w:rFonts w:ascii="PT Astra Serif" w:hAnsi="PT Astra Serif"/>
          <w:sz w:val="28"/>
          <w:szCs w:val="28"/>
        </w:rPr>
        <w:t xml:space="preserve">ьоне материального обеспечения «</w:t>
      </w:r>
      <w:r>
        <w:rPr>
          <w:rFonts w:ascii="PT Astra Serif" w:hAnsi="PT Astra Serif"/>
          <w:sz w:val="28"/>
          <w:szCs w:val="28"/>
        </w:rPr>
        <w:t xml:space="preserve">Тоян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, контракт для прохождения вое</w:t>
      </w:r>
      <w:r>
        <w:rPr>
          <w:rFonts w:ascii="PT Astra Serif" w:hAnsi="PT Astra Serif"/>
          <w:sz w:val="28"/>
          <w:szCs w:val="28"/>
        </w:rPr>
        <w:t xml:space="preserve">нной службы в штурмовом отряде «</w:t>
      </w:r>
      <w:r>
        <w:rPr>
          <w:rFonts w:ascii="PT Astra Serif" w:hAnsi="PT Astra Serif"/>
          <w:sz w:val="28"/>
          <w:szCs w:val="28"/>
        </w:rPr>
        <w:t xml:space="preserve">Васюган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, в размере</w:t>
        <w:br/>
        <w:t xml:space="preserve">300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 рублей;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заключившим с 01.08.2024 по 31.12.2024 контракт, за исключением лиц, добровольно заключивших контракт для прохождения военной службы в именном батал</w:t>
      </w:r>
      <w:r>
        <w:rPr>
          <w:rFonts w:ascii="PT Astra Serif" w:hAnsi="PT Astra Serif"/>
          <w:sz w:val="28"/>
          <w:szCs w:val="28"/>
        </w:rPr>
        <w:t xml:space="preserve">ьоне материального обеспечения «</w:t>
      </w:r>
      <w:r>
        <w:rPr>
          <w:rFonts w:ascii="PT Astra Serif" w:hAnsi="PT Astra Serif"/>
          <w:sz w:val="28"/>
          <w:szCs w:val="28"/>
        </w:rPr>
        <w:t xml:space="preserve">Тоян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, контракт для прохождения вое</w:t>
      </w:r>
      <w:r>
        <w:rPr>
          <w:rFonts w:ascii="PT Astra Serif" w:hAnsi="PT Astra Serif"/>
          <w:sz w:val="28"/>
          <w:szCs w:val="28"/>
        </w:rPr>
        <w:t xml:space="preserve">нной службы в штурмовом отряде «</w:t>
      </w:r>
      <w:r>
        <w:rPr>
          <w:rFonts w:ascii="PT Astra Serif" w:hAnsi="PT Astra Serif"/>
          <w:sz w:val="28"/>
          <w:szCs w:val="28"/>
        </w:rPr>
        <w:t xml:space="preserve">Васюган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, в размере </w:t>
        <w:br/>
        <w:t xml:space="preserve">400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 рублей;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заключившим с 01.01.2025 </w:t>
      </w:r>
      <w:r>
        <w:rPr>
          <w:rFonts w:ascii="PT Astra Serif" w:hAnsi="PT Astra Serif"/>
          <w:sz w:val="28"/>
          <w:szCs w:val="28"/>
        </w:rPr>
        <w:t xml:space="preserve">по 30.06.2026 </w:t>
      </w:r>
      <w:r>
        <w:rPr>
          <w:rFonts w:ascii="PT Astra Serif" w:hAnsi="PT Astra Serif"/>
          <w:sz w:val="28"/>
          <w:szCs w:val="28"/>
        </w:rPr>
        <w:t xml:space="preserve">контракт, за исключением лиц, добровольно заключивших контракт для прохождения военной службы в именном батал</w:t>
      </w:r>
      <w:r>
        <w:rPr>
          <w:rFonts w:ascii="PT Astra Serif" w:hAnsi="PT Astra Serif"/>
          <w:sz w:val="28"/>
          <w:szCs w:val="28"/>
        </w:rPr>
        <w:t xml:space="preserve">ьоне материального обеспечения «</w:t>
      </w:r>
      <w:r>
        <w:rPr>
          <w:rFonts w:ascii="PT Astra Serif" w:hAnsi="PT Astra Serif"/>
          <w:sz w:val="28"/>
          <w:szCs w:val="28"/>
        </w:rPr>
        <w:t xml:space="preserve">Тоян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, контракт для </w:t>
      </w:r>
      <w:r>
        <w:rPr>
          <w:rFonts w:ascii="PT Astra Serif" w:hAnsi="PT Astra Serif"/>
          <w:sz w:val="28"/>
          <w:szCs w:val="28"/>
        </w:rPr>
        <w:t xml:space="preserve">прохождения вое</w:t>
      </w:r>
      <w:r>
        <w:rPr>
          <w:rFonts w:ascii="PT Astra Serif" w:hAnsi="PT Astra Serif"/>
          <w:sz w:val="28"/>
          <w:szCs w:val="28"/>
        </w:rPr>
        <w:t xml:space="preserve">нной службы в штурмовом отряде «</w:t>
      </w:r>
      <w:r>
        <w:rPr>
          <w:rFonts w:ascii="PT Astra Serif" w:hAnsi="PT Astra Serif"/>
          <w:sz w:val="28"/>
          <w:szCs w:val="28"/>
        </w:rPr>
        <w:t xml:space="preserve">Васюган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, граждан, указанных в подпункте 7) настоящего пункта, в размере 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 рублей;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не реализовавшим право на получение единовременной выплаты в 2022 году в соответствии с постановлением Администрации Томско</w:t>
      </w:r>
      <w:r>
        <w:rPr>
          <w:rFonts w:ascii="PT Astra Serif" w:hAnsi="PT Astra Serif"/>
          <w:sz w:val="28"/>
          <w:szCs w:val="28"/>
        </w:rPr>
        <w:t xml:space="preserve">й области от 03.11.2022 N 489а «</w:t>
      </w:r>
      <w:r>
        <w:rPr>
          <w:rFonts w:ascii="PT Astra Serif" w:hAnsi="PT Astra Serif"/>
          <w:sz w:val="28"/>
          <w:szCs w:val="28"/>
        </w:rPr>
        <w:t xml:space="preserve">О единовременной выплате гражданам Российской Федерации, проживающим на территории Томской области, заключившим контракт о добровольном содействии в выполнении задач, возложенных на Вооруженные Силы Российской Федерации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 в размере 100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 рублей;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заключившим с 01.01.2025 </w:t>
      </w:r>
      <w:r>
        <w:rPr>
          <w:rFonts w:ascii="PT Astra Serif" w:hAnsi="PT Astra Serif"/>
          <w:sz w:val="28"/>
          <w:szCs w:val="28"/>
        </w:rPr>
        <w:t xml:space="preserve">по 30.06.2026 </w:t>
      </w:r>
      <w:r>
        <w:rPr>
          <w:rFonts w:ascii="PT Astra Serif" w:hAnsi="PT Astra Serif"/>
          <w:sz w:val="28"/>
          <w:szCs w:val="28"/>
        </w:rPr>
        <w:t xml:space="preserve">контракт о прохождении военной службы в войсках </w:t>
      </w:r>
      <w:r>
        <w:rPr>
          <w:rFonts w:ascii="PT Astra Serif" w:hAnsi="PT Astra Serif"/>
          <w:sz w:val="28"/>
          <w:szCs w:val="28"/>
        </w:rPr>
        <w:t xml:space="preserve">национальной гвардии Российской Федерации сроком на один год и более для выполнения задач специальной военной операции на территориях Украины, Донецкой Народной Республики, Луганской Народной Республики, Херсонской и Запорожской областей (далее - контракт </w:t>
      </w:r>
      <w:r>
        <w:rPr>
          <w:rFonts w:ascii="PT Astra Serif" w:hAnsi="PT Astra Serif"/>
          <w:sz w:val="28"/>
          <w:szCs w:val="28"/>
        </w:rPr>
        <w:t xml:space="preserve">о прохождении службы в </w:t>
      </w:r>
      <w:r>
        <w:rPr>
          <w:rFonts w:ascii="PT Astra Serif" w:hAnsi="PT Astra Serif"/>
          <w:sz w:val="28"/>
          <w:szCs w:val="28"/>
        </w:rPr>
        <w:t xml:space="preserve">войсках национальной гвардии Российской Федерации</w:t>
      </w:r>
      <w:r>
        <w:rPr>
          <w:rFonts w:ascii="PT Astra Serif" w:hAnsi="PT Astra Serif"/>
          <w:sz w:val="28"/>
          <w:szCs w:val="28"/>
        </w:rPr>
        <w:t xml:space="preserve">) в размере 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 рублей;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spacing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призванным на военную службу по мобилизации в Вооруженные Силы Российской Федерации в соответствии с Указом Президента Российской Федерации от 21.09.2022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647 </w:t>
      </w: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/>
          <w:sz w:val="28"/>
          <w:szCs w:val="28"/>
        </w:rPr>
        <w:t xml:space="preserve">Об объявлении частичной моб</w:t>
      </w:r>
      <w:r>
        <w:rPr>
          <w:rFonts w:ascii="PT Astra Serif" w:hAnsi="PT Astra Serif"/>
          <w:sz w:val="28"/>
          <w:szCs w:val="28"/>
        </w:rPr>
        <w:t xml:space="preserve">илизации в Российской Федерации»</w:t>
      </w:r>
      <w:r>
        <w:rPr>
          <w:rFonts w:ascii="PT Astra Serif" w:hAnsi="PT Astra Serif"/>
          <w:sz w:val="28"/>
          <w:szCs w:val="28"/>
        </w:rPr>
        <w:t xml:space="preserve"> и заключившим с 01.01.2026 контракт в размере </w:t>
        <w:br/>
        <w:t xml:space="preserve">400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000 рублей</w:t>
      </w:r>
      <w:r>
        <w:rPr>
          <w:rFonts w:ascii="PT Astra Serif" w:hAnsi="PT Astra Serif"/>
          <w:sz w:val="28"/>
          <w:szCs w:val="28"/>
        </w:rPr>
        <w:t xml:space="preserve">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widowControl w:val="off"/>
        <w:rPr>
          <w:rFonts w:ascii="PT Astra Serif" w:hAnsi="PT Astra Serif" w:eastAsia="PT Astra Serif" w:cs="PT Astra Serif"/>
          <w:sz w:val="28"/>
          <w:szCs w:val="28"/>
          <w:lang w:eastAsia="zh-CN"/>
        </w:rPr>
      </w:pP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8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) заключившим с 01.07.2026 контракт,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lang w:eastAsia="zh-CN"/>
        </w:rPr>
        <w:t xml:space="preserve">в отношении которых вынесен обвинительный приговор 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lang w:eastAsia="zh-CN"/>
        </w:rPr>
        <w:t xml:space="preserve"> которым назначено наказание, в отношении которых ведется дознание либо предварительное следствие или уголовное дело в отношении которых передано в суд с избранной мерой пресечения в виде заключения под стражу, заключивших контракт в местах лишения свободы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, в размере 400 000 рублей;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</w:r>
    </w:p>
    <w:p>
      <w:pPr>
        <w:ind w:firstLine="539"/>
        <w:jc w:val="both"/>
        <w:widowControl w:val="off"/>
        <w:rPr>
          <w:rFonts w:ascii="PT Astra Serif" w:hAnsi="PT Astra Serif" w:eastAsia="PT Astra Serif" w:cs="PT Astra Serif"/>
          <w:sz w:val="28"/>
          <w:szCs w:val="28"/>
          <w:lang w:eastAsia="zh-CN"/>
        </w:rPr>
      </w:pP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9) заключившим с 01.07.2026 контракт </w:t>
      </w:r>
      <w:r>
        <w:rPr>
          <w:rFonts w:ascii="PT Astra Serif" w:hAnsi="PT Astra Serif"/>
          <w:sz w:val="28"/>
          <w:szCs w:val="28"/>
        </w:rPr>
        <w:t xml:space="preserve">о прохождении службы в </w:t>
      </w:r>
      <w:r>
        <w:rPr>
          <w:rFonts w:ascii="PT Astra Serif" w:hAnsi="PT Astra Serif"/>
          <w:sz w:val="28"/>
          <w:szCs w:val="28"/>
        </w:rPr>
        <w:t xml:space="preserve">войсках национальной гвардии Российской Федерации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в размере 400 000 рублей;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</w:r>
    </w:p>
    <w:p>
      <w:pPr>
        <w:ind w:firstLine="539"/>
        <w:jc w:val="both"/>
        <w:widowControl w:val="off"/>
        <w:rPr>
          <w:rFonts w:ascii="PT Astra Serif" w:hAnsi="PT Astra Serif" w:cs="PT Astra Serif"/>
          <w:sz w:val="28"/>
          <w:szCs w:val="28"/>
          <w:lang w:eastAsia="zh-CN"/>
        </w:rPr>
      </w:pP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10) заключившим с 01.07.2026 контракт, за исключением лиц, добровольно заключивших контракт для прохождения военной службы в именном батал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ьоне материального обеспечения «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Тоян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, контракт для прохождения вое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нной службы в штурмовом отряде «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Васюган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», контракт с п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унктом отбора на военную службу по 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контракту (3 разряда), г. Томск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, в размере 400 000 рублей.</w:t>
      </w:r>
      <w:r>
        <w:rPr>
          <w:rFonts w:ascii="PT Astra Serif" w:hAnsi="PT Astra Serif" w:cs="PT Astra Serif"/>
          <w:sz w:val="28"/>
          <w:szCs w:val="28"/>
          <w:lang w:eastAsia="zh-CN"/>
        </w:rPr>
      </w:r>
      <w:r>
        <w:rPr>
          <w:rFonts w:ascii="PT Astra Serif" w:hAnsi="PT Astra Serif" w:cs="PT Astra Serif"/>
          <w:sz w:val="28"/>
          <w:szCs w:val="28"/>
          <w:lang w:eastAsia="zh-CN"/>
        </w:rPr>
      </w:r>
    </w:p>
    <w:p>
      <w:pPr>
        <w:jc w:val="both"/>
        <w:widowControl w:val="off"/>
        <w:rPr>
          <w:rFonts w:ascii="PT Astra Serif" w:hAnsi="PT Astra Serif" w:eastAsia="PT Astra Serif" w:cs="PT Astra Serif"/>
          <w:sz w:val="28"/>
          <w:szCs w:val="28"/>
          <w:lang w:eastAsia="zh-CN"/>
        </w:rPr>
      </w:pP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1-1. Денежная выплата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 гражданам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, указанн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ым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 в </w:t>
      </w:r>
      <w:hyperlink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 w:anchor="P13" w:history="1">
        <w:r>
          <w:rPr>
            <w:rFonts w:ascii="PT Astra Serif" w:hAnsi="PT Astra Serif" w:eastAsia="PT Astra Serif" w:cs="PT Astra Serif"/>
            <w:sz w:val="28"/>
            <w:szCs w:val="28"/>
            <w:lang w:eastAsia="zh-CN"/>
          </w:rPr>
          <w:t xml:space="preserve">подпунктах 1)</w:t>
        </w:r>
      </w:hyperlink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 - 10</w:t>
      </w:r>
      <w:hyperlink w:tooltip="7) призванным на военную службу по мобилизации в Вооруженные Силы Российской Федерации в соответствии с Указом Президента Российской Федерации от 21.09.2022 N 647 &quot;Об объявлении частичной мобилизации в Российской Федерации&quot; и заключившим с 01.01.2026 контракт " w:anchor="P19" w:history="1">
        <w:r>
          <w:rPr>
            <w:rFonts w:ascii="PT Astra Serif" w:hAnsi="PT Astra Serif" w:eastAsia="PT Astra Serif" w:cs="PT Astra Serif"/>
            <w:sz w:val="28"/>
            <w:szCs w:val="28"/>
            <w:lang w:eastAsia="zh-CN"/>
          </w:rPr>
          <w:t xml:space="preserve">) пункта 1</w:t>
        </w:r>
      </w:hyperlink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 настоящего постановления, назначается и предоставляется однократно по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 каждому заключенному контракту, контракту </w:t>
      </w:r>
      <w:r>
        <w:rPr>
          <w:rFonts w:ascii="PT Astra Serif" w:hAnsi="PT Astra Serif"/>
          <w:sz w:val="28"/>
          <w:szCs w:val="28"/>
        </w:rPr>
        <w:t xml:space="preserve">о прохождении службы в </w:t>
      </w:r>
      <w:r>
        <w:rPr>
          <w:rFonts w:ascii="PT Astra Serif" w:hAnsi="PT Astra Serif"/>
          <w:sz w:val="28"/>
          <w:szCs w:val="28"/>
        </w:rPr>
        <w:t xml:space="preserve">войсках национальной гвардии Российской Федерации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. 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</w:r>
    </w:p>
    <w:p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енежная выплата,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гражданам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, указанн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ым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 </w:t>
      </w:r>
      <w:hyperlink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 w:anchor="P13" w:history="1">
        <w:r>
          <w:rPr>
            <w:rFonts w:ascii="PT Astra Serif" w:hAnsi="PT Astra Serif" w:eastAsia="PT Astra Serif" w:cs="PT Astra Serif"/>
            <w:sz w:val="28"/>
            <w:szCs w:val="28"/>
          </w:rPr>
          <w:t xml:space="preserve">подпунктах 1)</w:t>
        </w:r>
      </w:hyperlink>
      <w:r>
        <w:rPr>
          <w:rFonts w:ascii="PT Astra Serif" w:hAnsi="PT Astra Serif" w:eastAsia="PT Astra Serif" w:cs="PT Astra Serif"/>
          <w:sz w:val="28"/>
          <w:szCs w:val="28"/>
        </w:rPr>
        <w:t xml:space="preserve"> - 6) пункта 1 настоящего постановления, не назначается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случае, если граж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дане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реализова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ли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право на получение денежной выплаты в соответствии с постановлениями Администрации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Томской области от 17.01.2023 №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15а </w:t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 мерах социальной поддержки отдельных категорий граждан, участвующих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специальной военной операции» (далее – постановление № 15а), </w:t>
      </w:r>
      <w:r>
        <w:rPr>
          <w:rFonts w:ascii="PT Astra Serif" w:hAnsi="PT Astra Serif" w:eastAsia="PT Astra Serif" w:cs="PT Astra Serif"/>
          <w:color w:val="000000"/>
          <w:spacing w:val="-4"/>
          <w:sz w:val="28"/>
          <w:szCs w:val="28"/>
          <w:highlight w:val="none"/>
        </w:rPr>
        <w:t xml:space="preserve">от 27.08.2025 №</w:t>
      </w:r>
      <w:r>
        <w:rPr>
          <w:rFonts w:ascii="PT Astra Serif" w:hAnsi="PT Astra Serif" w:eastAsia="PT Astra Serif" w:cs="PT Astra Serif"/>
          <w:color w:val="000000"/>
          <w:spacing w:val="-4"/>
          <w:sz w:val="28"/>
          <w:szCs w:val="28"/>
          <w:highlight w:val="none"/>
        </w:rPr>
        <w:t xml:space="preserve"> 385а «О мерах социальной поддержки отдельных категорий граждан, участвующих в специальной военной операции</w:t>
      </w:r>
      <w:r>
        <w:rPr>
          <w:rFonts w:ascii="PT Astra Serif" w:hAnsi="PT Astra Serif" w:eastAsia="PT Astra Serif" w:cs="PT Astra Serif"/>
          <w:color w:val="000000"/>
          <w:spacing w:val="-4"/>
          <w:sz w:val="28"/>
          <w:szCs w:val="28"/>
          <w:highlight w:val="none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в связи с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заключением одного и того же контракта, 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контракт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 прохождении службы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войсках национальной гвардии Российской Федерации</w:t>
      </w:r>
      <w:r>
        <w:rPr>
          <w:rFonts w:ascii="PT Astra Serif" w:hAnsi="PT Astra Serif" w:eastAsia="PT Astra Serif" w:cs="PT Astra Serif"/>
          <w:sz w:val="28"/>
          <w:szCs w:val="28"/>
          <w:lang w:eastAsia="zh-CN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18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/>
      <w:bookmarkStart w:id="0" w:name="P23"/>
      <w:r/>
      <w:bookmarkEnd w:id="0"/>
      <w:r>
        <w:rPr>
          <w:rFonts w:ascii="PT Astra Serif" w:hAnsi="PT Astra Serif" w:eastAsia="PT Astra Serif" w:cs="PT Astra Serif"/>
          <w:sz w:val="28"/>
          <w:szCs w:val="28"/>
        </w:rPr>
        <w:t xml:space="preserve">2.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Денежная выплата гражданам, проживающим на территории Томской области, указанным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</w:t>
      </w:r>
      <w:hyperlink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 w:anchor="P13" w:history="1">
        <w:r>
          <w:rPr>
            <w:rFonts w:ascii="PT Astra Serif" w:hAnsi="PT Astra Serif" w:eastAsia="PT Astra Serif" w:cs="PT Astra Serif"/>
            <w:sz w:val="28"/>
            <w:szCs w:val="28"/>
          </w:rPr>
          <w:t xml:space="preserve">подпунктах 1)</w:t>
        </w:r>
      </w:hyperlink>
      <w:r>
        <w:rPr>
          <w:rFonts w:ascii="PT Astra Serif" w:hAnsi="PT Astra Serif" w:eastAsia="PT Astra Serif" w:cs="PT Astra Serif"/>
          <w:sz w:val="28"/>
          <w:szCs w:val="28"/>
        </w:rPr>
        <w:t xml:space="preserve"> - 5</w:t>
      </w:r>
      <w:hyperlink w:tooltip="6) заключившим с 01.01.2025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, Донецкой Народной Республики, Луганской Н" w:anchor="P18" w:history="1">
        <w:r>
          <w:rPr>
            <w:rFonts w:ascii="PT Astra Serif" w:hAnsi="PT Astra Serif" w:eastAsia="PT Astra Serif" w:cs="PT Astra Serif"/>
            <w:sz w:val="28"/>
            <w:szCs w:val="28"/>
          </w:rPr>
          <w:t xml:space="preserve">), 10) пункта 1</w:t>
        </w:r>
      </w:hyperlink>
      <w:r>
        <w:rPr>
          <w:rFonts w:ascii="PT Astra Serif" w:hAnsi="PT Astra Serif" w:eastAsia="PT Astra Serif" w:cs="PT Astra Serif"/>
          <w:sz w:val="28"/>
          <w:szCs w:val="28"/>
        </w:rPr>
        <w:t xml:space="preserve"> настоящего постановления, назначается и предоставляется Департаментом социальной защиты населения Томской области (далее - Департамент) через областные государственные казенные уч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реждения (центры социальной поддержки населения муниципальных образований Томской области) (далее - подведомственные учреждения) на основании заявления гражданина по форме, утвержденной Департаментом, и документов, подтверждающих факт заключения контракта,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bookmarkStart w:id="1" w:name="_GoBack"/>
      <w:r/>
      <w:bookmarkEnd w:id="1"/>
      <w:r>
        <w:rPr>
          <w:rFonts w:ascii="PT Astra Serif" w:hAnsi="PT Astra Serif" w:eastAsia="PT Astra Serif" w:cs="PT Astra Serif"/>
          <w:sz w:val="28"/>
          <w:szCs w:val="28"/>
        </w:rPr>
        <w:t xml:space="preserve">или списков, предоставленных пунктом отбора на военную службу по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контракту (3 разряда), г. Томск.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18"/>
        <w:ind w:firstLine="709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Денежная выплата гражданам, не проживающим на территории Томской области, указанным в </w:t>
      </w:r>
      <w:hyperlink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 w:anchor="P13" w:history="1">
        <w:r>
          <w:rPr>
            <w:rFonts w:ascii="PT Astra Serif" w:hAnsi="PT Astra Serif" w:eastAsia="PT Astra Serif" w:cs="PT Astra Serif"/>
            <w:sz w:val="28"/>
            <w:szCs w:val="28"/>
          </w:rPr>
          <w:t xml:space="preserve">подпунктах 1)</w:t>
        </w:r>
      </w:hyperlink>
      <w:r>
        <w:rPr>
          <w:rFonts w:ascii="PT Astra Serif" w:hAnsi="PT Astra Serif" w:eastAsia="PT Astra Serif" w:cs="PT Astra Serif"/>
          <w:sz w:val="28"/>
          <w:szCs w:val="28"/>
        </w:rPr>
        <w:t xml:space="preserve"> - 5</w:t>
      </w:r>
      <w:hyperlink w:tooltip="6) заключившим с 01.01.2025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, Донецкой Народной Республики, Луганской Н" w:anchor="P18" w:history="1">
        <w:r>
          <w:rPr>
            <w:rFonts w:ascii="PT Astra Serif" w:hAnsi="PT Astra Serif" w:eastAsia="PT Astra Serif" w:cs="PT Astra Serif"/>
            <w:sz w:val="28"/>
            <w:szCs w:val="28"/>
          </w:rPr>
          <w:t xml:space="preserve">), 8), 10 пункта 1</w:t>
        </w:r>
      </w:hyperlink>
      <w:r>
        <w:rPr>
          <w:rFonts w:ascii="PT Astra Serif" w:hAnsi="PT Astra Serif" w:eastAsia="PT Astra Serif" w:cs="PT Astra Serif"/>
          <w:sz w:val="28"/>
          <w:szCs w:val="28"/>
        </w:rPr>
        <w:t xml:space="preserve"> настоящего постановления, а также гражданам, проживающим на территории Томской области, указанным в </w:t>
      </w:r>
      <w:hyperlink w:tooltip="7) призванным на военную службу по мобилизации в Вооруженные Силы Российской Федерации в соответствии с Указом Президента Российской Федерации от 21.09.2022 N 647 &quot;Об объявлении частичной мобилизации в Российской Федерации&quot; и заключившим с 01.01.2026 контракт " w:anchor="P19" w:history="1">
        <w:r>
          <w:rPr>
            <w:rFonts w:ascii="PT Astra Serif" w:hAnsi="PT Astra Serif" w:eastAsia="PT Astra Serif" w:cs="PT Astra Serif"/>
            <w:sz w:val="28"/>
            <w:szCs w:val="28"/>
          </w:rPr>
          <w:t xml:space="preserve">подпункт</w:t>
        </w:r>
        <w:r>
          <w:rPr>
            <w:rFonts w:ascii="PT Astra Serif" w:hAnsi="PT Astra Serif" w:eastAsia="PT Astra Serif" w:cs="PT Astra Serif"/>
            <w:sz w:val="28"/>
            <w:szCs w:val="28"/>
          </w:rPr>
          <w:t xml:space="preserve">ах</w:t>
        </w:r>
        <w:r>
          <w:rPr>
            <w:rFonts w:ascii="PT Astra Serif" w:hAnsi="PT Astra Serif" w:eastAsia="PT Astra Serif" w:cs="PT Astra Serif"/>
            <w:sz w:val="28"/>
            <w:szCs w:val="28"/>
          </w:rPr>
          <w:t xml:space="preserve"> 7)</w:t>
        </w:r>
        <w:r>
          <w:rPr>
            <w:rFonts w:ascii="PT Astra Serif" w:hAnsi="PT Astra Serif" w:eastAsia="PT Astra Serif" w:cs="PT Astra Serif"/>
            <w:sz w:val="28"/>
            <w:szCs w:val="28"/>
          </w:rPr>
          <w:t xml:space="preserve"> и</w:t>
        </w:r>
        <w:r>
          <w:rPr>
            <w:rFonts w:ascii="PT Astra Serif" w:hAnsi="PT Astra Serif" w:eastAsia="PT Astra Serif" w:cs="PT Astra Serif"/>
            <w:sz w:val="28"/>
            <w:szCs w:val="28"/>
          </w:rPr>
          <w:t xml:space="preserve"> 8) пункта 1</w:t>
        </w:r>
      </w:hyperlink>
      <w:r>
        <w:rPr>
          <w:rFonts w:ascii="PT Astra Serif" w:hAnsi="PT Astra Serif" w:eastAsia="PT Astra Serif" w:cs="PT Astra Serif"/>
          <w:sz w:val="28"/>
          <w:szCs w:val="28"/>
        </w:rPr>
        <w:t xml:space="preserve"> настоящего постановления, назначается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предоставляется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Департаментом через подведомственные учреждения на основании списков, предоставленных пунктом отбора на военную службу по контракту (3 разряда), г. Томск, либо Военным комиссариатом Томской области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Style w:val="1018"/>
        <w:ind w:firstLine="709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Денежная выплата гражданам, указанным в подпунктах 6)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9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) пункта 1 настоящего постановления, назначается и предоставляется Департаментом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через подведомственные учреждения на основании списков,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предоставленных Управлением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по Томской области Федеральной службы войск национальной гвардии Российской Федерации.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Style w:val="1018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пункт 3 дополнить абзацем четвертым следующего содержания: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16"/>
        <w:ind w:firstLine="709"/>
        <w:jc w:val="both"/>
        <w:spacing w:before="0" w:after="0"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«</w:t>
      </w:r>
      <w:r>
        <w:rPr>
          <w:rFonts w:ascii="PT Astra Serif" w:hAnsi="PT Astra Serif"/>
          <w:sz w:val="28"/>
          <w:szCs w:val="28"/>
          <w:lang w:eastAsia="ru-RU"/>
        </w:rPr>
        <w:t xml:space="preserve">Выплата </w:t>
      </w:r>
      <w:r>
        <w:rPr>
          <w:rFonts w:ascii="PT Astra Serif" w:hAnsi="PT Astra Serif"/>
          <w:sz w:val="28"/>
          <w:szCs w:val="28"/>
        </w:rPr>
        <w:t xml:space="preserve">денежной выплаты </w:t>
      </w:r>
      <w:r>
        <w:rPr>
          <w:rFonts w:ascii="PT Astra Serif" w:hAnsi="PT Astra Serif"/>
          <w:sz w:val="28"/>
          <w:szCs w:val="28"/>
          <w:lang w:eastAsia="ru-RU"/>
        </w:rPr>
        <w:t xml:space="preserve">осуществляется через областное государственное казенное учреждение «Информационно-технический центр Томской области» посредством перечисления на счет </w:t>
      </w:r>
      <w:r>
        <w:rPr>
          <w:rFonts w:ascii="PT Astra Serif" w:hAnsi="PT Astra Serif"/>
          <w:sz w:val="28"/>
          <w:szCs w:val="28"/>
          <w:lang w:eastAsia="ru-RU"/>
        </w:rPr>
        <w:t xml:space="preserve">граждан</w:t>
      </w:r>
      <w:r>
        <w:rPr>
          <w:rFonts w:ascii="PT Astra Serif" w:hAnsi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 кредитной организации.</w:t>
      </w:r>
      <w:r>
        <w:rPr>
          <w:rFonts w:ascii="PT Astra Serif" w:hAnsi="PT Astra Serif"/>
          <w:sz w:val="28"/>
          <w:szCs w:val="28"/>
        </w:rPr>
        <w:t xml:space="preserve">».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rPr>
          <w:rFonts w:ascii="PT Astra Serif" w:hAnsi="PT Astra Serif" w:cs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</w:rPr>
        <w:t xml:space="preserve">2. Настоящее постановление вступает в силу </w:t>
      </w:r>
      <w:r>
        <w:rPr>
          <w:rFonts w:ascii="PT Astra Serif" w:hAnsi="PT Astra Serif"/>
          <w:sz w:val="28"/>
          <w:szCs w:val="28"/>
        </w:rPr>
        <w:t xml:space="preserve">со дня его официального </w:t>
      </w:r>
      <w:r>
        <w:rPr>
          <w:rFonts w:ascii="PT Astra Serif" w:hAnsi="PT Astra Serif"/>
          <w:sz w:val="28"/>
          <w:szCs w:val="28"/>
        </w:rPr>
        <w:t xml:space="preserve">опубликования.</w:t>
      </w:r>
      <w:r>
        <w:rPr>
          <w:rFonts w:ascii="PT Astra Serif" w:hAnsi="PT Astra Serif" w:cs="PT Astra Serif"/>
          <w:sz w:val="28"/>
          <w:szCs w:val="28"/>
          <w:lang w:eastAsia="zh-CN"/>
        </w:rPr>
      </w:r>
      <w:r>
        <w:rPr>
          <w:rFonts w:ascii="PT Astra Serif" w:hAnsi="PT Astra Serif" w:cs="PT Astra Serif"/>
          <w:sz w:val="28"/>
          <w:szCs w:val="28"/>
          <w:lang w:eastAsia="zh-CN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tabs>
          <w:tab w:val="left" w:pos="851" w:leader="none"/>
          <w:tab w:val="left" w:pos="99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4334"/>
        <w:gridCol w:w="5164"/>
      </w:tblGrid>
      <w:tr>
        <w:tblPrEx/>
        <w:trPr/>
        <w:tc>
          <w:tcPr>
            <w:tcW w:w="4334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Председатель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Правительства Томской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области</w:t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</w:tc>
        <w:tc>
          <w:tcPr>
            <w:tcW w:w="5164" w:type="dxa"/>
            <w:textDirection w:val="lrTb"/>
            <w:noWrap w:val="false"/>
          </w:tcPr>
          <w:p>
            <w:pPr>
              <w:ind w:left="709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709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.В.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Кондратьев</w:t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ind w:firstLine="0"/>
        <w:spacing w:before="12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Назаревич</w:t>
      </w:r>
      <w:r>
        <w:rPr>
          <w:rFonts w:ascii="PT Astra Serif" w:hAnsi="PT Astra Serif"/>
          <w:sz w:val="20"/>
        </w:rPr>
        <w:t xml:space="preserve"> О.Н.</w:t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ind w:firstLine="0"/>
        <w:spacing w:before="12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continuous"/>
      <w:pgSz w:w="11907" w:h="16840" w:orient="portrait"/>
      <w:pgMar w:top="1418" w:right="851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2"/>
      <w:ind w:firstLine="0"/>
      <w:rPr>
        <w:rStyle w:val="1004"/>
        <w:rFonts w:ascii="PT Astra Serif" w:hAnsi="PT Astra Serif"/>
        <w:b w:val="0"/>
        <w:sz w:val="24"/>
      </w:rPr>
      <w:framePr w:wrap="around" w:vAnchor="text" w:hAnchor="margin" w:xAlign="center" w:y="1"/>
    </w:pPr>
    <w:r>
      <w:rPr>
        <w:rStyle w:val="1004"/>
        <w:rFonts w:ascii="PT Astra Serif" w:hAnsi="PT Astra Serif"/>
        <w:b w:val="0"/>
        <w:sz w:val="24"/>
      </w:rPr>
      <w:fldChar w:fldCharType="begin"/>
    </w:r>
    <w:r>
      <w:rPr>
        <w:rStyle w:val="1004"/>
        <w:rFonts w:ascii="PT Astra Serif" w:hAnsi="PT Astra Serif"/>
        <w:b w:val="0"/>
        <w:sz w:val="24"/>
      </w:rPr>
      <w:instrText xml:space="preserve">PAGE  </w:instrText>
    </w:r>
    <w:r>
      <w:rPr>
        <w:rStyle w:val="1004"/>
        <w:rFonts w:ascii="PT Astra Serif" w:hAnsi="PT Astra Serif"/>
        <w:b w:val="0"/>
        <w:sz w:val="24"/>
      </w:rPr>
      <w:fldChar w:fldCharType="separate"/>
    </w:r>
    <w:r>
      <w:rPr>
        <w:rStyle w:val="1004"/>
        <w:rFonts w:ascii="PT Astra Serif" w:hAnsi="PT Astra Serif"/>
        <w:b w:val="0"/>
        <w:sz w:val="24"/>
      </w:rPr>
      <w:t xml:space="preserve">2</w:t>
    </w:r>
    <w:r>
      <w:rPr>
        <w:rStyle w:val="1004"/>
        <w:rFonts w:ascii="PT Astra Serif" w:hAnsi="PT Astra Serif"/>
        <w:b w:val="0"/>
        <w:sz w:val="24"/>
      </w:rPr>
      <w:fldChar w:fldCharType="end"/>
    </w:r>
    <w:r>
      <w:rPr>
        <w:rStyle w:val="1004"/>
        <w:rFonts w:ascii="PT Astra Serif" w:hAnsi="PT Astra Serif"/>
        <w:b w:val="0"/>
        <w:sz w:val="24"/>
      </w:rPr>
    </w:r>
    <w:r>
      <w:rPr>
        <w:rStyle w:val="1004"/>
        <w:rFonts w:ascii="PT Astra Serif" w:hAnsi="PT Astra Serif"/>
        <w:b w:val="0"/>
        <w:sz w:val="24"/>
      </w:rPr>
    </w:r>
  </w:p>
  <w:p>
    <w:pPr>
      <w:pStyle w:val="100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2"/>
      <w:rPr>
        <w:rStyle w:val="1004"/>
      </w:rPr>
      <w:framePr w:wrap="around" w:vAnchor="text" w:hAnchor="margin" w:xAlign="center" w:y="1"/>
    </w:pPr>
    <w:r>
      <w:rPr>
        <w:rStyle w:val="1004"/>
      </w:rPr>
      <w:fldChar w:fldCharType="begin"/>
    </w:r>
    <w:r>
      <w:rPr>
        <w:rStyle w:val="1004"/>
      </w:rPr>
      <w:instrText xml:space="preserve">PAGE  </w:instrText>
    </w:r>
    <w:r>
      <w:rPr>
        <w:rStyle w:val="1004"/>
      </w:rPr>
      <w:fldChar w:fldCharType="end"/>
    </w:r>
    <w:r>
      <w:rPr>
        <w:rStyle w:val="1004"/>
      </w:rPr>
    </w:r>
    <w:r>
      <w:rPr>
        <w:rStyle w:val="1004"/>
      </w:rPr>
    </w:r>
  </w:p>
  <w:p>
    <w:pPr>
      <w:pStyle w:val="100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  <w:r>
      <w:rPr>
        <w:rFonts w:ascii="PT Astra Serif" w:hAnsi="PT Astra Serif"/>
        <w:b/>
        <w:lang w:val="en-US"/>
      </w:rPr>
    </w:r>
  </w:p>
  <w:p>
    <w:pPr>
      <w:pStyle w:val="1002"/>
      <w:ind w:firstLine="0"/>
      <w:spacing w:before="0" w:after="0" w:line="360" w:lineRule="exact"/>
      <w:rPr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</w:t>
    </w:r>
    <w:r>
      <w:rPr>
        <w:rFonts w:ascii="PT Astra Serif" w:hAnsi="PT Astra Serif"/>
        <w:sz w:val="30"/>
        <w:szCs w:val="30"/>
      </w:rPr>
      <w:t xml:space="preserve">ТОМСКОЙ ОБЛАСТИ</w:t>
    </w:r>
    <w:r>
      <w:rPr>
        <w:sz w:val="30"/>
        <w:szCs w:val="30"/>
      </w:rPr>
    </w:r>
    <w:r>
      <w:rPr>
        <w:sz w:val="30"/>
        <w:szCs w:val="30"/>
      </w:rPr>
    </w:r>
  </w:p>
  <w:p>
    <w:pPr>
      <w:pStyle w:val="1002"/>
      <w:ind w:firstLine="0"/>
      <w:spacing w:before="240" w:after="0"/>
      <w:rPr>
        <w:rFonts w:ascii="PT Astra Serif" w:hAnsi="PT Astra Serif"/>
        <w:spacing w:val="20"/>
        <w:sz w:val="30"/>
        <w:szCs w:val="30"/>
      </w:rPr>
    </w:pPr>
    <w:r>
      <w:rPr>
        <w:rFonts w:ascii="PT Astra Serif" w:hAnsi="PT Astra Serif"/>
        <w:spacing w:val="20"/>
        <w:sz w:val="30"/>
        <w:szCs w:val="30"/>
      </w:rPr>
      <w:t xml:space="preserve">постановление</w:t>
    </w:r>
    <w:r>
      <w:rPr>
        <w:rFonts w:ascii="PT Astra Serif" w:hAnsi="PT Astra Serif"/>
        <w:spacing w:val="20"/>
        <w:sz w:val="30"/>
        <w:szCs w:val="30"/>
      </w:rPr>
    </w:r>
    <w:r>
      <w:rPr>
        <w:rFonts w:ascii="PT Astra Serif" w:hAnsi="PT Astra Serif"/>
        <w:spacing w:val="20"/>
        <w:sz w:val="30"/>
        <w:szCs w:val="30"/>
      </w:rPr>
    </w:r>
  </w:p>
  <w:p>
    <w:pPr>
      <w:pStyle w:val="1002"/>
      <w:ind w:firstLine="0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41" w:hanging="131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1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3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5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7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9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1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3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5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35" w:hanging="795"/>
      </w:pPr>
      <w:rPr>
        <w:rFonts w:hint="default" w:ascii="PT Astra Serif" w:hAnsi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7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8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5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7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4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1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8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5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7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4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14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49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41" w:hanging="131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1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3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5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7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9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1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3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57" w:hanging="180"/>
      </w:pPr>
    </w:lvl>
  </w:abstractNum>
  <w:abstractNum w:abstractNumId="2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8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5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7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4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14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89" w:hanging="180"/>
      </w:pPr>
    </w:lvl>
  </w:abstractNum>
  <w:abstractNum w:abstractNumId="2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49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41" w:hanging="131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1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3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5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7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9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1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3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57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41" w:hanging="131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1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3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5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7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9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1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3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57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41" w:hanging="131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1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3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5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7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9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1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3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5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5"/>
  </w:num>
  <w:num w:numId="4">
    <w:abstractNumId w:val="4"/>
  </w:num>
  <w:num w:numId="5">
    <w:abstractNumId w:val="19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4"/>
  </w:num>
  <w:num w:numId="11">
    <w:abstractNumId w:val="5"/>
  </w:num>
  <w:num w:numId="12">
    <w:abstractNumId w:val="28"/>
  </w:num>
  <w:num w:numId="13">
    <w:abstractNumId w:val="22"/>
  </w:num>
  <w:num w:numId="14">
    <w:abstractNumId w:val="13"/>
  </w:num>
  <w:num w:numId="15">
    <w:abstractNumId w:val="11"/>
  </w:num>
  <w:num w:numId="16">
    <w:abstractNumId w:val="0"/>
  </w:num>
  <w:num w:numId="17">
    <w:abstractNumId w:val="18"/>
  </w:num>
  <w:num w:numId="18">
    <w:abstractNumId w:val="16"/>
  </w:num>
  <w:num w:numId="19">
    <w:abstractNumId w:val="17"/>
  </w:num>
  <w:num w:numId="20">
    <w:abstractNumId w:val="24"/>
  </w:num>
  <w:num w:numId="21">
    <w:abstractNumId w:val="8"/>
  </w:num>
  <w:num w:numId="22">
    <w:abstractNumId w:val="25"/>
  </w:num>
  <w:num w:numId="23">
    <w:abstractNumId w:val="1"/>
  </w:num>
  <w:num w:numId="24">
    <w:abstractNumId w:val="21"/>
  </w:num>
  <w:num w:numId="25">
    <w:abstractNumId w:val="26"/>
  </w:num>
  <w:num w:numId="26">
    <w:abstractNumId w:val="27"/>
  </w:num>
  <w:num w:numId="27">
    <w:abstractNumId w:val="3"/>
  </w:num>
  <w:num w:numId="28">
    <w:abstractNumId w:val="7"/>
  </w:num>
  <w:num w:numId="29">
    <w:abstractNumId w:val="2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6" w:default="1">
    <w:name w:val="Normal"/>
    <w:qFormat/>
    <w:pPr>
      <w:ind w:firstLine="709"/>
    </w:pPr>
    <w:rPr>
      <w:sz w:val="26"/>
    </w:rPr>
  </w:style>
  <w:style w:type="paragraph" w:styleId="807">
    <w:name w:val="Heading 1"/>
    <w:basedOn w:val="806"/>
    <w:next w:val="806"/>
    <w:link w:val="83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808">
    <w:name w:val="Heading 2"/>
    <w:basedOn w:val="806"/>
    <w:next w:val="806"/>
    <w:link w:val="10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809">
    <w:name w:val="Heading 3"/>
    <w:basedOn w:val="806"/>
    <w:next w:val="806"/>
    <w:link w:val="83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810">
    <w:name w:val="Heading 4"/>
    <w:basedOn w:val="806"/>
    <w:next w:val="806"/>
    <w:link w:val="83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Cs w:val="26"/>
    </w:rPr>
  </w:style>
  <w:style w:type="paragraph" w:styleId="811">
    <w:name w:val="Heading 5"/>
    <w:basedOn w:val="806"/>
    <w:next w:val="806"/>
    <w:link w:val="84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12">
    <w:name w:val="Heading 6"/>
    <w:basedOn w:val="806"/>
    <w:next w:val="806"/>
    <w:link w:val="84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13">
    <w:name w:val="Heading 7"/>
    <w:basedOn w:val="806"/>
    <w:next w:val="806"/>
    <w:link w:val="84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14">
    <w:name w:val="Heading 8"/>
    <w:basedOn w:val="806"/>
    <w:next w:val="806"/>
    <w:link w:val="84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15">
    <w:name w:val="Heading 9"/>
    <w:basedOn w:val="806"/>
    <w:next w:val="806"/>
    <w:link w:val="84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16" w:default="1">
    <w:name w:val="Default Paragraph Font"/>
    <w:uiPriority w:val="1"/>
    <w:semiHidden/>
    <w:unhideWhenUsed/>
  </w:style>
  <w:style w:type="table" w:styleId="8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8" w:default="1">
    <w:name w:val="No List"/>
    <w:uiPriority w:val="99"/>
    <w:semiHidden/>
    <w:unhideWhenUsed/>
  </w:style>
  <w:style w:type="character" w:styleId="819" w:customStyle="1">
    <w:name w:val="Heading 1 Char"/>
    <w:basedOn w:val="81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20" w:customStyle="1">
    <w:name w:val="Heading 3 Char"/>
    <w:basedOn w:val="81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1" w:customStyle="1">
    <w:name w:val="Heading 4 Char"/>
    <w:basedOn w:val="81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22" w:customStyle="1">
    <w:name w:val="Heading 5 Char"/>
    <w:basedOn w:val="81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3" w:customStyle="1">
    <w:name w:val="Heading 6 Char"/>
    <w:basedOn w:val="81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4" w:customStyle="1">
    <w:name w:val="Heading 7 Char"/>
    <w:basedOn w:val="81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5" w:customStyle="1">
    <w:name w:val="Heading 8 Char"/>
    <w:basedOn w:val="81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6" w:customStyle="1">
    <w:name w:val="Heading 9 Char"/>
    <w:basedOn w:val="81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7" w:customStyle="1">
    <w:name w:val="Title Char"/>
    <w:basedOn w:val="816"/>
    <w:uiPriority w:val="10"/>
    <w:rPr>
      <w:sz w:val="48"/>
      <w:szCs w:val="48"/>
    </w:rPr>
  </w:style>
  <w:style w:type="character" w:styleId="828" w:customStyle="1">
    <w:name w:val="Subtitle Char"/>
    <w:basedOn w:val="816"/>
    <w:uiPriority w:val="11"/>
    <w:rPr>
      <w:sz w:val="24"/>
      <w:szCs w:val="24"/>
    </w:rPr>
  </w:style>
  <w:style w:type="character" w:styleId="829" w:customStyle="1">
    <w:name w:val="Quote Char"/>
    <w:uiPriority w:val="29"/>
    <w:rPr>
      <w:i/>
    </w:rPr>
  </w:style>
  <w:style w:type="character" w:styleId="830" w:customStyle="1">
    <w:name w:val="Intense Quote Char"/>
    <w:uiPriority w:val="30"/>
    <w:rPr>
      <w:i/>
    </w:rPr>
  </w:style>
  <w:style w:type="character" w:styleId="831" w:customStyle="1">
    <w:name w:val="Header Char"/>
    <w:basedOn w:val="816"/>
    <w:uiPriority w:val="99"/>
  </w:style>
  <w:style w:type="character" w:styleId="832" w:customStyle="1">
    <w:name w:val="Footer Char"/>
    <w:basedOn w:val="816"/>
    <w:uiPriority w:val="99"/>
  </w:style>
  <w:style w:type="character" w:styleId="833" w:customStyle="1">
    <w:name w:val="Caption Char"/>
    <w:basedOn w:val="816"/>
    <w:uiPriority w:val="35"/>
    <w:rPr>
      <w:b/>
      <w:bCs/>
      <w:color w:val="4f81bd" w:themeColor="accent1"/>
      <w:sz w:val="18"/>
      <w:szCs w:val="18"/>
    </w:rPr>
  </w:style>
  <w:style w:type="character" w:styleId="834" w:customStyle="1">
    <w:name w:val="Footnote Text Char"/>
    <w:uiPriority w:val="99"/>
    <w:rPr>
      <w:sz w:val="18"/>
    </w:rPr>
  </w:style>
  <w:style w:type="character" w:styleId="835" w:customStyle="1">
    <w:name w:val="Endnote Text Char"/>
    <w:uiPriority w:val="99"/>
    <w:rPr>
      <w:sz w:val="20"/>
    </w:rPr>
  </w:style>
  <w:style w:type="character" w:styleId="836" w:customStyle="1">
    <w:name w:val="Заголовок 1 Знак"/>
    <w:basedOn w:val="816"/>
    <w:link w:val="80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37" w:customStyle="1">
    <w:name w:val="Heading 2 Char"/>
    <w:basedOn w:val="816"/>
    <w:uiPriority w:val="9"/>
    <w:rPr>
      <w:rFonts w:ascii="Liberation Sans" w:hAnsi="Liberation Sans" w:eastAsia="Liberation Sans" w:cs="Liberation Sans"/>
      <w:sz w:val="34"/>
    </w:rPr>
  </w:style>
  <w:style w:type="character" w:styleId="838" w:customStyle="1">
    <w:name w:val="Заголовок 3 Знак"/>
    <w:basedOn w:val="816"/>
    <w:link w:val="80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39" w:customStyle="1">
    <w:name w:val="Заголовок 4 Знак"/>
    <w:basedOn w:val="816"/>
    <w:link w:val="81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40" w:customStyle="1">
    <w:name w:val="Заголовок 5 Знак"/>
    <w:basedOn w:val="816"/>
    <w:link w:val="81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41" w:customStyle="1">
    <w:name w:val="Заголовок 6 Знак"/>
    <w:basedOn w:val="816"/>
    <w:link w:val="81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42" w:customStyle="1">
    <w:name w:val="Заголовок 7 Знак"/>
    <w:basedOn w:val="816"/>
    <w:link w:val="81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43" w:customStyle="1">
    <w:name w:val="Заголовок 8 Знак"/>
    <w:basedOn w:val="816"/>
    <w:link w:val="81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44" w:customStyle="1">
    <w:name w:val="Заголовок 9 Знак"/>
    <w:basedOn w:val="816"/>
    <w:link w:val="81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45">
    <w:name w:val="No Spacing"/>
    <w:uiPriority w:val="1"/>
    <w:qFormat/>
  </w:style>
  <w:style w:type="paragraph" w:styleId="846">
    <w:name w:val="Title"/>
    <w:basedOn w:val="806"/>
    <w:next w:val="806"/>
    <w:link w:val="8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47" w:customStyle="1">
    <w:name w:val="Название Знак"/>
    <w:basedOn w:val="816"/>
    <w:link w:val="846"/>
    <w:uiPriority w:val="10"/>
    <w:rPr>
      <w:sz w:val="48"/>
      <w:szCs w:val="48"/>
    </w:rPr>
  </w:style>
  <w:style w:type="paragraph" w:styleId="848">
    <w:name w:val="Subtitle"/>
    <w:basedOn w:val="806"/>
    <w:next w:val="806"/>
    <w:link w:val="849"/>
    <w:uiPriority w:val="11"/>
    <w:qFormat/>
    <w:pPr>
      <w:spacing w:before="200" w:after="200"/>
    </w:pPr>
    <w:rPr>
      <w:sz w:val="24"/>
      <w:szCs w:val="24"/>
    </w:rPr>
  </w:style>
  <w:style w:type="character" w:styleId="849" w:customStyle="1">
    <w:name w:val="Подзаголовок Знак"/>
    <w:basedOn w:val="816"/>
    <w:link w:val="848"/>
    <w:uiPriority w:val="11"/>
    <w:rPr>
      <w:sz w:val="24"/>
      <w:szCs w:val="24"/>
    </w:rPr>
  </w:style>
  <w:style w:type="paragraph" w:styleId="850">
    <w:name w:val="Quote"/>
    <w:basedOn w:val="806"/>
    <w:next w:val="806"/>
    <w:link w:val="851"/>
    <w:uiPriority w:val="29"/>
    <w:qFormat/>
    <w:pPr>
      <w:ind w:left="720" w:right="720"/>
    </w:pPr>
    <w:rPr>
      <w:i/>
    </w:rPr>
  </w:style>
  <w:style w:type="character" w:styleId="851" w:customStyle="1">
    <w:name w:val="Цитата 2 Знак"/>
    <w:link w:val="850"/>
    <w:uiPriority w:val="29"/>
    <w:rPr>
      <w:i/>
    </w:rPr>
  </w:style>
  <w:style w:type="paragraph" w:styleId="852">
    <w:name w:val="Intense Quote"/>
    <w:basedOn w:val="806"/>
    <w:next w:val="806"/>
    <w:link w:val="8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53" w:customStyle="1">
    <w:name w:val="Выделенная цитата Знак"/>
    <w:link w:val="852"/>
    <w:uiPriority w:val="30"/>
    <w:rPr>
      <w:i/>
    </w:rPr>
  </w:style>
  <w:style w:type="character" w:styleId="854" w:customStyle="1">
    <w:name w:val="Верхний колонтитул Знак"/>
    <w:basedOn w:val="816"/>
    <w:link w:val="1002"/>
    <w:uiPriority w:val="99"/>
  </w:style>
  <w:style w:type="character" w:styleId="855" w:customStyle="1">
    <w:name w:val="Нижний колонтитул Знак"/>
    <w:basedOn w:val="816"/>
    <w:link w:val="1003"/>
    <w:uiPriority w:val="99"/>
  </w:style>
  <w:style w:type="character" w:styleId="856" w:customStyle="1">
    <w:name w:val="Название объекта Знак"/>
    <w:basedOn w:val="816"/>
    <w:link w:val="1005"/>
    <w:uiPriority w:val="35"/>
    <w:rPr>
      <w:b/>
      <w:bCs/>
      <w:color w:val="4f81bd" w:themeColor="accent1"/>
      <w:sz w:val="18"/>
      <w:szCs w:val="18"/>
    </w:rPr>
  </w:style>
  <w:style w:type="table" w:styleId="857">
    <w:name w:val="Table Grid"/>
    <w:basedOn w:val="817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8" w:customStyle="1">
    <w:name w:val="Table Grid Light"/>
    <w:basedOn w:val="81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9">
    <w:name w:val="Plain Table 1"/>
    <w:basedOn w:val="81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60">
    <w:name w:val="Plain Table 2"/>
    <w:basedOn w:val="817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61">
    <w:name w:val="Plain Table 3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2">
    <w:name w:val="Plain Table 4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Plain Table 5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64">
    <w:name w:val="Grid Table 1 Light"/>
    <w:basedOn w:val="81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Grid Table 1 Light - Accent 1"/>
    <w:basedOn w:val="817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Grid Table 1 Light - Accent 2"/>
    <w:basedOn w:val="817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Grid Table 1 Light - Accent 3"/>
    <w:basedOn w:val="817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Grid Table 1 Light - Accent 4"/>
    <w:basedOn w:val="817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Grid Table 1 Light - Accent 5"/>
    <w:basedOn w:val="817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Grid Table 1 Light - Accent 6"/>
    <w:basedOn w:val="817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Grid Table 2"/>
    <w:basedOn w:val="81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2 - Accent 1"/>
    <w:basedOn w:val="817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2 - Accent 2"/>
    <w:basedOn w:val="81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2 - Accent 3"/>
    <w:basedOn w:val="81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2 - Accent 4"/>
    <w:basedOn w:val="81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2 - Accent 5"/>
    <w:basedOn w:val="817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2 - Accent 6"/>
    <w:basedOn w:val="817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Grid Table 3"/>
    <w:basedOn w:val="81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3 - Accent 1"/>
    <w:basedOn w:val="817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Grid Table 3 - Accent 2"/>
    <w:basedOn w:val="81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3 - Accent 3"/>
    <w:basedOn w:val="81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3 - Accent 4"/>
    <w:basedOn w:val="81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3 - Accent 5"/>
    <w:basedOn w:val="817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3 - Accent 6"/>
    <w:basedOn w:val="817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4"/>
    <w:basedOn w:val="81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6" w:customStyle="1">
    <w:name w:val="Grid Table 4 - Accent 1"/>
    <w:basedOn w:val="817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87" w:customStyle="1">
    <w:name w:val="Grid Table 4 - Accent 2"/>
    <w:basedOn w:val="817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88" w:customStyle="1">
    <w:name w:val="Grid Table 4 - Accent 3"/>
    <w:basedOn w:val="817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89" w:customStyle="1">
    <w:name w:val="Grid Table 4 - Accent 4"/>
    <w:basedOn w:val="817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90" w:customStyle="1">
    <w:name w:val="Grid Table 4 - Accent 5"/>
    <w:basedOn w:val="817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91" w:customStyle="1">
    <w:name w:val="Grid Table 4 - Accent 6"/>
    <w:basedOn w:val="817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92">
    <w:name w:val="Grid Table 5 Dark"/>
    <w:basedOn w:val="81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93" w:customStyle="1">
    <w:name w:val="Grid Table 5 Dark- Accent 1"/>
    <w:basedOn w:val="81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94" w:customStyle="1">
    <w:name w:val="Grid Table 5 Dark - Accent 2"/>
    <w:basedOn w:val="81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95" w:customStyle="1">
    <w:name w:val="Grid Table 5 Dark - Accent 3"/>
    <w:basedOn w:val="81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96" w:customStyle="1">
    <w:name w:val="Grid Table 5 Dark- Accent 4"/>
    <w:basedOn w:val="81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97" w:customStyle="1">
    <w:name w:val="Grid Table 5 Dark - Accent 5"/>
    <w:basedOn w:val="81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98" w:customStyle="1">
    <w:name w:val="Grid Table 5 Dark - Accent 6"/>
    <w:basedOn w:val="81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99">
    <w:name w:val="Grid Table 6 Colorful"/>
    <w:basedOn w:val="81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00" w:customStyle="1">
    <w:name w:val="Grid Table 6 Colorful - Accent 1"/>
    <w:basedOn w:val="817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01" w:customStyle="1">
    <w:name w:val="Grid Table 6 Colorful - Accent 2"/>
    <w:basedOn w:val="81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02" w:customStyle="1">
    <w:name w:val="Grid Table 6 Colorful - Accent 3"/>
    <w:basedOn w:val="817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03" w:customStyle="1">
    <w:name w:val="Grid Table 6 Colorful - Accent 4"/>
    <w:basedOn w:val="81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04" w:customStyle="1">
    <w:name w:val="Grid Table 6 Colorful - Accent 5"/>
    <w:basedOn w:val="817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05" w:customStyle="1">
    <w:name w:val="Grid Table 6 Colorful - Accent 6"/>
    <w:basedOn w:val="817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06">
    <w:name w:val="Grid Table 7 Colorful"/>
    <w:basedOn w:val="81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7" w:customStyle="1">
    <w:name w:val="Grid Table 7 Colorful - Accent 1"/>
    <w:basedOn w:val="817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8" w:customStyle="1">
    <w:name w:val="Grid Table 7 Colorful - Accent 2"/>
    <w:basedOn w:val="81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Grid Table 7 Colorful - Accent 3"/>
    <w:basedOn w:val="81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Grid Table 7 Colorful - Accent 4"/>
    <w:basedOn w:val="81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Grid Table 7 Colorful - Accent 5"/>
    <w:basedOn w:val="817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Grid Table 7 Colorful - Accent 6"/>
    <w:basedOn w:val="817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>
    <w:name w:val="List Table 1 Light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1 Light - Accent 1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1 Light - Accent 2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1 Light - Accent 3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1 Light - Accent 4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1 Light - Accent 5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st Table 1 Light - Accent 6"/>
    <w:basedOn w:val="81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List Table 2"/>
    <w:basedOn w:val="81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21" w:customStyle="1">
    <w:name w:val="List Table 2 - Accent 1"/>
    <w:basedOn w:val="817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22" w:customStyle="1">
    <w:name w:val="List Table 2 - Accent 2"/>
    <w:basedOn w:val="817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23" w:customStyle="1">
    <w:name w:val="List Table 2 - Accent 3"/>
    <w:basedOn w:val="817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24" w:customStyle="1">
    <w:name w:val="List Table 2 - Accent 4"/>
    <w:basedOn w:val="817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25" w:customStyle="1">
    <w:name w:val="List Table 2 - Accent 5"/>
    <w:basedOn w:val="817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26" w:customStyle="1">
    <w:name w:val="List Table 2 - Accent 6"/>
    <w:basedOn w:val="817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27">
    <w:name w:val="List Table 3"/>
    <w:basedOn w:val="81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3 - Accent 1"/>
    <w:basedOn w:val="817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3 - Accent 2"/>
    <w:basedOn w:val="81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3 - Accent 3"/>
    <w:basedOn w:val="81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3 - Accent 4"/>
    <w:basedOn w:val="81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3 - Accent 5"/>
    <w:basedOn w:val="81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3 - Accent 6"/>
    <w:basedOn w:val="81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>
    <w:name w:val="List Table 4"/>
    <w:basedOn w:val="81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4 - Accent 1"/>
    <w:basedOn w:val="817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4 - Accent 2"/>
    <w:basedOn w:val="817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4 - Accent 3"/>
    <w:basedOn w:val="817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List Table 4 - Accent 4"/>
    <w:basedOn w:val="817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List Table 4 - Accent 5"/>
    <w:basedOn w:val="817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 w:customStyle="1">
    <w:name w:val="List Table 4 - Accent 6"/>
    <w:basedOn w:val="817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5 Dark"/>
    <w:basedOn w:val="81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2" w:customStyle="1">
    <w:name w:val="List Table 5 Dark - Accent 1"/>
    <w:basedOn w:val="817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3" w:customStyle="1">
    <w:name w:val="List Table 5 Dark - Accent 2"/>
    <w:basedOn w:val="81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4" w:customStyle="1">
    <w:name w:val="List Table 5 Dark - Accent 3"/>
    <w:basedOn w:val="81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5" w:customStyle="1">
    <w:name w:val="List Table 5 Dark - Accent 4"/>
    <w:basedOn w:val="81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6" w:customStyle="1">
    <w:name w:val="List Table 5 Dark - Accent 5"/>
    <w:basedOn w:val="81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7" w:customStyle="1">
    <w:name w:val="List Table 5 Dark - Accent 6"/>
    <w:basedOn w:val="81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8">
    <w:name w:val="List Table 6 Colorful"/>
    <w:basedOn w:val="81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49" w:customStyle="1">
    <w:name w:val="List Table 6 Colorful - Accent 1"/>
    <w:basedOn w:val="817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50" w:customStyle="1">
    <w:name w:val="List Table 6 Colorful - Accent 2"/>
    <w:basedOn w:val="81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51" w:customStyle="1">
    <w:name w:val="List Table 6 Colorful - Accent 3"/>
    <w:basedOn w:val="81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52" w:customStyle="1">
    <w:name w:val="List Table 6 Colorful - Accent 4"/>
    <w:basedOn w:val="81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53" w:customStyle="1">
    <w:name w:val="List Table 6 Colorful - Accent 5"/>
    <w:basedOn w:val="81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54" w:customStyle="1">
    <w:name w:val="List Table 6 Colorful - Accent 6"/>
    <w:basedOn w:val="81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55">
    <w:name w:val="List Table 7 Colorful"/>
    <w:basedOn w:val="81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6" w:customStyle="1">
    <w:name w:val="List Table 7 Colorful - Accent 1"/>
    <w:basedOn w:val="817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7" w:customStyle="1">
    <w:name w:val="List Table 7 Colorful - Accent 2"/>
    <w:basedOn w:val="817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8" w:customStyle="1">
    <w:name w:val="List Table 7 Colorful - Accent 3"/>
    <w:basedOn w:val="817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9" w:customStyle="1">
    <w:name w:val="List Table 7 Colorful - Accent 4"/>
    <w:basedOn w:val="817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0" w:customStyle="1">
    <w:name w:val="List Table 7 Colorful - Accent 5"/>
    <w:basedOn w:val="817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1" w:customStyle="1">
    <w:name w:val="List Table 7 Colorful - Accent 6"/>
    <w:basedOn w:val="817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2" w:customStyle="1">
    <w:name w:val="Lined - Accent"/>
    <w:basedOn w:val="81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3" w:customStyle="1">
    <w:name w:val="Lined - Accent 1"/>
    <w:basedOn w:val="81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64" w:customStyle="1">
    <w:name w:val="Lined - Accent 2"/>
    <w:basedOn w:val="81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65" w:customStyle="1">
    <w:name w:val="Lined - Accent 3"/>
    <w:basedOn w:val="81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6" w:customStyle="1">
    <w:name w:val="Lined - Accent 4"/>
    <w:basedOn w:val="81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7" w:customStyle="1">
    <w:name w:val="Lined - Accent 5"/>
    <w:basedOn w:val="81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8" w:customStyle="1">
    <w:name w:val="Lined - Accent 6"/>
    <w:basedOn w:val="81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69" w:customStyle="1">
    <w:name w:val="Bordered &amp; Lined - Accent"/>
    <w:basedOn w:val="81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70" w:customStyle="1">
    <w:name w:val="Bordered &amp; Lined - Accent 1"/>
    <w:basedOn w:val="81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71" w:customStyle="1">
    <w:name w:val="Bordered &amp; Lined - Accent 2"/>
    <w:basedOn w:val="81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72" w:customStyle="1">
    <w:name w:val="Bordered &amp; Lined - Accent 3"/>
    <w:basedOn w:val="81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73" w:customStyle="1">
    <w:name w:val="Bordered &amp; Lined - Accent 4"/>
    <w:basedOn w:val="81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74" w:customStyle="1">
    <w:name w:val="Bordered &amp; Lined - Accent 5"/>
    <w:basedOn w:val="81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75" w:customStyle="1">
    <w:name w:val="Bordered &amp; Lined - Accent 6"/>
    <w:basedOn w:val="81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76" w:customStyle="1">
    <w:name w:val="Bordered"/>
    <w:basedOn w:val="817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77" w:customStyle="1">
    <w:name w:val="Bordered - Accent 1"/>
    <w:basedOn w:val="817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78" w:customStyle="1">
    <w:name w:val="Bordered - Accent 2"/>
    <w:basedOn w:val="817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79" w:customStyle="1">
    <w:name w:val="Bordered - Accent 3"/>
    <w:basedOn w:val="817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80" w:customStyle="1">
    <w:name w:val="Bordered - Accent 4"/>
    <w:basedOn w:val="817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81" w:customStyle="1">
    <w:name w:val="Bordered - Accent 5"/>
    <w:basedOn w:val="817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82" w:customStyle="1">
    <w:name w:val="Bordered - Accent 6"/>
    <w:basedOn w:val="817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83">
    <w:name w:val="Hyperlink"/>
    <w:uiPriority w:val="99"/>
    <w:unhideWhenUsed/>
    <w:rPr>
      <w:color w:val="0000ff" w:themeColor="hyperlink"/>
      <w:u w:val="single"/>
    </w:rPr>
  </w:style>
  <w:style w:type="paragraph" w:styleId="984">
    <w:name w:val="footnote text"/>
    <w:basedOn w:val="806"/>
    <w:link w:val="985"/>
    <w:uiPriority w:val="99"/>
    <w:semiHidden/>
    <w:unhideWhenUsed/>
    <w:pPr>
      <w:spacing w:after="40"/>
    </w:pPr>
    <w:rPr>
      <w:sz w:val="18"/>
    </w:rPr>
  </w:style>
  <w:style w:type="character" w:styleId="985" w:customStyle="1">
    <w:name w:val="Текст сноски Знак"/>
    <w:link w:val="984"/>
    <w:uiPriority w:val="99"/>
    <w:rPr>
      <w:sz w:val="18"/>
    </w:rPr>
  </w:style>
  <w:style w:type="character" w:styleId="986">
    <w:name w:val="footnote reference"/>
    <w:basedOn w:val="816"/>
    <w:uiPriority w:val="99"/>
    <w:unhideWhenUsed/>
    <w:rPr>
      <w:vertAlign w:val="superscript"/>
    </w:rPr>
  </w:style>
  <w:style w:type="paragraph" w:styleId="987">
    <w:name w:val="endnote text"/>
    <w:basedOn w:val="806"/>
    <w:link w:val="988"/>
    <w:uiPriority w:val="99"/>
    <w:semiHidden/>
    <w:unhideWhenUsed/>
    <w:rPr>
      <w:sz w:val="20"/>
    </w:rPr>
  </w:style>
  <w:style w:type="character" w:styleId="988" w:customStyle="1">
    <w:name w:val="Текст концевой сноски Знак"/>
    <w:link w:val="987"/>
    <w:uiPriority w:val="99"/>
    <w:rPr>
      <w:sz w:val="20"/>
    </w:rPr>
  </w:style>
  <w:style w:type="character" w:styleId="989">
    <w:name w:val="endnote reference"/>
    <w:basedOn w:val="816"/>
    <w:uiPriority w:val="99"/>
    <w:semiHidden/>
    <w:unhideWhenUsed/>
    <w:rPr>
      <w:vertAlign w:val="superscript"/>
    </w:rPr>
  </w:style>
  <w:style w:type="paragraph" w:styleId="990">
    <w:name w:val="toc 1"/>
    <w:basedOn w:val="806"/>
    <w:next w:val="806"/>
    <w:uiPriority w:val="39"/>
    <w:unhideWhenUsed/>
    <w:pPr>
      <w:ind w:firstLine="0"/>
      <w:spacing w:after="57"/>
    </w:pPr>
  </w:style>
  <w:style w:type="paragraph" w:styleId="991">
    <w:name w:val="toc 2"/>
    <w:basedOn w:val="806"/>
    <w:next w:val="806"/>
    <w:uiPriority w:val="39"/>
    <w:unhideWhenUsed/>
    <w:pPr>
      <w:ind w:left="283" w:firstLine="0"/>
      <w:spacing w:after="57"/>
    </w:pPr>
  </w:style>
  <w:style w:type="paragraph" w:styleId="992">
    <w:name w:val="toc 3"/>
    <w:basedOn w:val="806"/>
    <w:next w:val="806"/>
    <w:uiPriority w:val="39"/>
    <w:unhideWhenUsed/>
    <w:pPr>
      <w:ind w:left="567" w:firstLine="0"/>
      <w:spacing w:after="57"/>
    </w:pPr>
  </w:style>
  <w:style w:type="paragraph" w:styleId="993">
    <w:name w:val="toc 4"/>
    <w:basedOn w:val="806"/>
    <w:next w:val="806"/>
    <w:uiPriority w:val="39"/>
    <w:unhideWhenUsed/>
    <w:pPr>
      <w:ind w:left="850" w:firstLine="0"/>
      <w:spacing w:after="57"/>
    </w:pPr>
  </w:style>
  <w:style w:type="paragraph" w:styleId="994">
    <w:name w:val="toc 5"/>
    <w:basedOn w:val="806"/>
    <w:next w:val="806"/>
    <w:uiPriority w:val="39"/>
    <w:unhideWhenUsed/>
    <w:pPr>
      <w:ind w:left="1134" w:firstLine="0"/>
      <w:spacing w:after="57"/>
    </w:pPr>
  </w:style>
  <w:style w:type="paragraph" w:styleId="995">
    <w:name w:val="toc 6"/>
    <w:basedOn w:val="806"/>
    <w:next w:val="806"/>
    <w:uiPriority w:val="39"/>
    <w:unhideWhenUsed/>
    <w:pPr>
      <w:ind w:left="1417" w:firstLine="0"/>
      <w:spacing w:after="57"/>
    </w:pPr>
  </w:style>
  <w:style w:type="paragraph" w:styleId="996">
    <w:name w:val="toc 7"/>
    <w:basedOn w:val="806"/>
    <w:next w:val="806"/>
    <w:uiPriority w:val="39"/>
    <w:unhideWhenUsed/>
    <w:pPr>
      <w:ind w:left="1701" w:firstLine="0"/>
      <w:spacing w:after="57"/>
    </w:pPr>
  </w:style>
  <w:style w:type="paragraph" w:styleId="997">
    <w:name w:val="toc 8"/>
    <w:basedOn w:val="806"/>
    <w:next w:val="806"/>
    <w:uiPriority w:val="39"/>
    <w:unhideWhenUsed/>
    <w:pPr>
      <w:ind w:left="1984" w:firstLine="0"/>
      <w:spacing w:after="57"/>
    </w:pPr>
  </w:style>
  <w:style w:type="paragraph" w:styleId="998">
    <w:name w:val="toc 9"/>
    <w:basedOn w:val="806"/>
    <w:next w:val="806"/>
    <w:uiPriority w:val="39"/>
    <w:unhideWhenUsed/>
    <w:pPr>
      <w:ind w:left="2268" w:firstLine="0"/>
      <w:spacing w:after="57"/>
    </w:pPr>
  </w:style>
  <w:style w:type="paragraph" w:styleId="999">
    <w:name w:val="TOC Heading"/>
    <w:uiPriority w:val="39"/>
    <w:unhideWhenUsed/>
  </w:style>
  <w:style w:type="paragraph" w:styleId="1000">
    <w:name w:val="table of figures"/>
    <w:basedOn w:val="806"/>
    <w:next w:val="806"/>
    <w:uiPriority w:val="99"/>
    <w:unhideWhenUsed/>
  </w:style>
  <w:style w:type="paragraph" w:styleId="1001">
    <w:name w:val="Body Text"/>
    <w:basedOn w:val="806"/>
    <w:next w:val="806"/>
    <w:pPr>
      <w:ind w:firstLine="0"/>
      <w:jc w:val="both"/>
    </w:pPr>
    <w:rPr>
      <w:sz w:val="22"/>
    </w:rPr>
  </w:style>
  <w:style w:type="paragraph" w:styleId="1002">
    <w:name w:val="Header"/>
    <w:basedOn w:val="806"/>
    <w:link w:val="854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1003">
    <w:name w:val="Footer"/>
    <w:basedOn w:val="806"/>
    <w:link w:val="855"/>
    <w:pPr>
      <w:tabs>
        <w:tab w:val="center" w:pos="4153" w:leader="none"/>
        <w:tab w:val="right" w:pos="8306" w:leader="none"/>
      </w:tabs>
    </w:pPr>
  </w:style>
  <w:style w:type="character" w:styleId="1004">
    <w:name w:val="page number"/>
    <w:basedOn w:val="816"/>
  </w:style>
  <w:style w:type="paragraph" w:styleId="1005">
    <w:name w:val="Caption"/>
    <w:basedOn w:val="806"/>
    <w:next w:val="806"/>
    <w:link w:val="856"/>
    <w:qFormat/>
    <w:pPr>
      <w:jc w:val="center"/>
    </w:pPr>
    <w:rPr>
      <w:b/>
      <w:sz w:val="28"/>
    </w:rPr>
  </w:style>
  <w:style w:type="paragraph" w:styleId="1006">
    <w:name w:val="Body Text 2"/>
    <w:basedOn w:val="806"/>
    <w:link w:val="1011"/>
    <w:pPr>
      <w:ind w:right="5102" w:firstLine="0"/>
      <w:jc w:val="center"/>
      <w:spacing w:before="120"/>
    </w:pPr>
  </w:style>
  <w:style w:type="paragraph" w:styleId="1007" w:customStyle="1">
    <w:name w:val="Обращение"/>
    <w:basedOn w:val="806"/>
    <w:next w:val="806"/>
    <w:pPr>
      <w:ind w:firstLine="0"/>
      <w:jc w:val="center"/>
      <w:spacing w:before="240" w:after="120"/>
    </w:pPr>
    <w:rPr>
      <w:b/>
    </w:rPr>
  </w:style>
  <w:style w:type="paragraph" w:styleId="1008" w:customStyle="1">
    <w:name w:val="Адресные реквизиты"/>
    <w:basedOn w:val="1001"/>
    <w:next w:val="1001"/>
    <w:pPr>
      <w:jc w:val="left"/>
    </w:pPr>
    <w:rPr>
      <w:sz w:val="16"/>
    </w:rPr>
  </w:style>
  <w:style w:type="paragraph" w:styleId="1009" w:customStyle="1">
    <w:name w:val="Адресат"/>
    <w:basedOn w:val="806"/>
    <w:pPr>
      <w:ind w:firstLine="0"/>
      <w:spacing w:before="120"/>
    </w:pPr>
    <w:rPr>
      <w:b/>
    </w:rPr>
  </w:style>
  <w:style w:type="paragraph" w:styleId="1010">
    <w:name w:val="Body Text 3"/>
    <w:basedOn w:val="806"/>
    <w:link w:val="1017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1011" w:customStyle="1">
    <w:name w:val="Основной текст 2 Знак"/>
    <w:link w:val="1006"/>
    <w:rPr>
      <w:sz w:val="26"/>
    </w:rPr>
  </w:style>
  <w:style w:type="paragraph" w:styleId="1012">
    <w:name w:val="Balloon Text"/>
    <w:basedOn w:val="806"/>
    <w:link w:val="1013"/>
    <w:uiPriority w:val="99"/>
    <w:semiHidden/>
    <w:unhideWhenUsed/>
    <w:rPr>
      <w:rFonts w:ascii="Tahoma" w:hAnsi="Tahoma" w:cs="Tahoma"/>
      <w:sz w:val="16"/>
      <w:szCs w:val="16"/>
    </w:rPr>
  </w:style>
  <w:style w:type="character" w:styleId="1013" w:customStyle="1">
    <w:name w:val="Текст выноски Знак"/>
    <w:basedOn w:val="816"/>
    <w:link w:val="1012"/>
    <w:uiPriority w:val="99"/>
    <w:semiHidden/>
    <w:rPr>
      <w:rFonts w:ascii="Tahoma" w:hAnsi="Tahoma" w:cs="Tahoma"/>
      <w:sz w:val="16"/>
      <w:szCs w:val="16"/>
    </w:rPr>
  </w:style>
  <w:style w:type="paragraph" w:styleId="1014">
    <w:name w:val="List Paragraph"/>
    <w:basedOn w:val="806"/>
    <w:uiPriority w:val="34"/>
    <w:qFormat/>
    <w:pPr>
      <w:contextualSpacing/>
      <w:ind w:left="720"/>
    </w:pPr>
  </w:style>
  <w:style w:type="character" w:styleId="1015" w:customStyle="1">
    <w:name w:val="Заголовок 2 Знак"/>
    <w:basedOn w:val="816"/>
    <w:link w:val="808"/>
    <w:uiPriority w:val="9"/>
    <w:rPr>
      <w:rFonts w:ascii="Arial" w:hAnsi="Arial" w:eastAsia="Arial" w:cs="Arial"/>
      <w:sz w:val="34"/>
    </w:rPr>
  </w:style>
  <w:style w:type="paragraph" w:styleId="1016">
    <w:name w:val="Normal (Web)"/>
    <w:basedOn w:val="806"/>
    <w:uiPriority w:val="99"/>
    <w:pPr>
      <w:ind w:firstLine="0"/>
      <w:spacing w:before="280" w:after="119"/>
    </w:pPr>
    <w:rPr>
      <w:sz w:val="24"/>
      <w:szCs w:val="24"/>
      <w:lang w:eastAsia="ar-SA"/>
    </w:rPr>
  </w:style>
  <w:style w:type="character" w:styleId="1017" w:customStyle="1">
    <w:name w:val="Основной текст 3 Знак"/>
    <w:basedOn w:val="816"/>
    <w:link w:val="1010"/>
    <w:rPr>
      <w:sz w:val="28"/>
    </w:rPr>
  </w:style>
  <w:style w:type="paragraph" w:styleId="1018" w:customStyle="1">
    <w:name w:val="ConsPlusNormal"/>
    <w:pPr>
      <w:widowControl w:val="off"/>
    </w:pPr>
    <w:rPr>
      <w:sz w:val="24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AA03D-F57A-40E5-988B-13BC41DE5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tfy</cp:lastModifiedBy>
  <cp:revision>8</cp:revision>
  <dcterms:created xsi:type="dcterms:W3CDTF">2026-06-23T07:47:00Z</dcterms:created>
  <dcterms:modified xsi:type="dcterms:W3CDTF">2026-06-29T05:42:49Z</dcterms:modified>
  <cp:version>917504</cp:version>
</cp:coreProperties>
</file>