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3900" cy="657225"/>
                <wp:effectExtent l="0" t="0" r="0" b="9525"/>
                <wp:docPr id="1" name="Рисунок 2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239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00pt;height:51.75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ascii="PT Astra Serif" w:hAnsi="PT Astra Serif" w:cs="PT Astra Serif"/>
          <w:b/>
          <w:sz w:val="26"/>
          <w:szCs w:val="26"/>
        </w:rPr>
      </w:r>
      <w:r>
        <w:rPr>
          <w:rFonts w:ascii="PT Astra Serif" w:hAnsi="PT Astra Serif" w:cs="PT Astra Serif"/>
          <w:b/>
          <w:sz w:val="26"/>
          <w:szCs w:val="26"/>
        </w:rPr>
      </w:r>
    </w:p>
    <w:p>
      <w:pPr>
        <w:jc w:val="center"/>
        <w:spacing w:line="360" w:lineRule="exact"/>
        <w:tabs>
          <w:tab w:val="center" w:pos="4153" w:leader="none"/>
          <w:tab w:val="right" w:pos="8306" w:leader="none"/>
        </w:tabs>
        <w:rPr>
          <w:rFonts w:ascii="PT Astra Serif" w:hAnsi="PT Astra Serif" w:cs="PT Astra Serif"/>
          <w:b/>
          <w:caps/>
          <w:sz w:val="26"/>
          <w:szCs w:val="26"/>
        </w:rPr>
      </w:pPr>
      <w:r>
        <w:rPr>
          <w:rFonts w:ascii="PT Astra Serif" w:hAnsi="PT Astra Serif" w:eastAsia="PT Astra Serif" w:cs="PT Astra Serif"/>
          <w:b/>
          <w:caps/>
          <w:sz w:val="26"/>
          <w:szCs w:val="26"/>
        </w:rPr>
        <w:t xml:space="preserve">ПРАВИТЕЛЬСТВО</w:t>
      </w:r>
      <w:r>
        <w:rPr>
          <w:rFonts w:ascii="PT Astra Serif" w:hAnsi="PT Astra Serif" w:eastAsia="PT Astra Serif" w:cs="PT Astra Serif"/>
          <w:b/>
          <w:caps/>
          <w:sz w:val="26"/>
          <w:szCs w:val="26"/>
        </w:rPr>
        <w:t xml:space="preserve"> ТОМСКОЙ ОБЛАСТИ</w:t>
      </w:r>
      <w:r>
        <w:rPr>
          <w:rFonts w:ascii="PT Astra Serif" w:hAnsi="PT Astra Serif" w:cs="PT Astra Serif"/>
          <w:b/>
          <w:caps/>
          <w:sz w:val="26"/>
          <w:szCs w:val="26"/>
        </w:rPr>
      </w:r>
      <w:r>
        <w:rPr>
          <w:rFonts w:ascii="PT Astra Serif" w:hAnsi="PT Astra Serif" w:cs="PT Astra Serif"/>
          <w:b/>
          <w:caps/>
          <w:sz w:val="26"/>
          <w:szCs w:val="26"/>
        </w:rPr>
      </w:r>
    </w:p>
    <w:p>
      <w:pPr>
        <w:jc w:val="center"/>
        <w:spacing w:before="240"/>
        <w:tabs>
          <w:tab w:val="center" w:pos="4153" w:leader="none"/>
          <w:tab w:val="right" w:pos="8306" w:leader="none"/>
        </w:tabs>
        <w:rPr>
          <w:rFonts w:ascii="PT Astra Serif" w:hAnsi="PT Astra Serif" w:cs="PT Astra Serif"/>
          <w:b/>
          <w:caps/>
          <w:spacing w:val="20"/>
          <w:sz w:val="26"/>
          <w:szCs w:val="26"/>
        </w:rPr>
      </w:pPr>
      <w:r>
        <w:rPr>
          <w:rFonts w:ascii="PT Astra Serif" w:hAnsi="PT Astra Serif" w:eastAsia="PT Astra Serif" w:cs="PT Astra Serif"/>
          <w:b/>
          <w:caps/>
          <w:spacing w:val="20"/>
          <w:sz w:val="26"/>
          <w:szCs w:val="26"/>
        </w:rPr>
        <w:t xml:space="preserve">РАСПОРЯЖЕНИЕ</w:t>
      </w:r>
      <w:r>
        <w:rPr>
          <w:rFonts w:ascii="PT Astra Serif" w:hAnsi="PT Astra Serif" w:cs="PT Astra Serif"/>
          <w:b/>
          <w:caps/>
          <w:spacing w:val="20"/>
          <w:sz w:val="26"/>
          <w:szCs w:val="26"/>
        </w:rPr>
      </w:r>
      <w:r>
        <w:rPr>
          <w:rFonts w:ascii="PT Astra Serif" w:hAnsi="PT Astra Serif" w:cs="PT Astra Serif"/>
          <w:b/>
          <w:caps/>
          <w:spacing w:val="20"/>
          <w:sz w:val="26"/>
          <w:szCs w:val="26"/>
        </w:rPr>
      </w:r>
    </w:p>
    <w:p>
      <w:pPr>
        <w:jc w:val="center"/>
        <w:tabs>
          <w:tab w:val="center" w:pos="4153" w:leader="none"/>
          <w:tab w:val="right" w:pos="8306" w:leader="none"/>
        </w:tabs>
        <w:rPr>
          <w:rFonts w:ascii="PT Astra Serif" w:hAnsi="PT Astra Serif" w:cs="PT Astra Serif"/>
          <w:b/>
          <w:caps/>
          <w:spacing w:val="20"/>
          <w:sz w:val="26"/>
          <w:szCs w:val="26"/>
        </w:rPr>
      </w:pPr>
      <w:r>
        <w:rPr>
          <w:rFonts w:ascii="PT Astra Serif" w:hAnsi="PT Astra Serif" w:eastAsia="PT Astra Serif" w:cs="PT Astra Serif"/>
          <w:b/>
          <w:caps/>
          <w:spacing w:val="20"/>
          <w:sz w:val="26"/>
          <w:szCs w:val="26"/>
        </w:rPr>
      </w:r>
      <w:r>
        <w:rPr>
          <w:rFonts w:ascii="PT Astra Serif" w:hAnsi="PT Astra Serif" w:cs="PT Astra Serif"/>
          <w:b/>
          <w:caps/>
          <w:spacing w:val="20"/>
          <w:sz w:val="26"/>
          <w:szCs w:val="26"/>
        </w:rPr>
      </w:r>
      <w:r>
        <w:rPr>
          <w:rFonts w:ascii="PT Astra Serif" w:hAnsi="PT Astra Serif" w:cs="PT Astra Serif"/>
          <w:b/>
          <w:caps/>
          <w:spacing w:val="20"/>
          <w:sz w:val="26"/>
          <w:szCs w:val="26"/>
        </w:rPr>
      </w:r>
    </w:p>
    <w:p>
      <w:pPr>
        <w:jc w:val="both"/>
        <w:tabs>
          <w:tab w:val="center" w:pos="4153" w:leader="none"/>
          <w:tab w:val="right" w:pos="8306" w:leader="none"/>
        </w:tabs>
        <w:rPr>
          <w:rFonts w:ascii="PT Astra Serif" w:hAnsi="PT Astra Serif" w:cs="PT Astra Serif"/>
          <w:caps/>
          <w:color w:val="ffffff" w:themeColor="background1"/>
          <w:spacing w:val="20"/>
          <w:sz w:val="26"/>
          <w:szCs w:val="26"/>
        </w:rPr>
      </w:pPr>
      <w:r>
        <w:rPr>
          <w:rFonts w:ascii="PT Astra Serif" w:hAnsi="PT Astra Serif" w:eastAsia="PT Astra Serif" w:cs="PT Astra Serif"/>
          <w:caps/>
          <w:color w:val="ffffff" w:themeColor="background1"/>
          <w:spacing w:val="20"/>
          <w:sz w:val="26"/>
          <w:szCs w:val="26"/>
        </w:rPr>
        <w:t xml:space="preserve">22.09.2021                                                                           № 547-</w:t>
      </w:r>
      <w:r>
        <w:rPr>
          <w:rFonts w:ascii="PT Astra Serif" w:hAnsi="PT Astra Serif" w:eastAsia="PT Astra Serif" w:cs="PT Astra Serif"/>
          <w:color w:val="ffffff" w:themeColor="background1"/>
          <w:spacing w:val="20"/>
          <w:sz w:val="26"/>
          <w:szCs w:val="26"/>
        </w:rPr>
        <w:t xml:space="preserve">ра</w:t>
      </w:r>
      <w:r>
        <w:rPr>
          <w:rFonts w:ascii="PT Astra Serif" w:hAnsi="PT Astra Serif" w:cs="PT Astra Serif"/>
          <w:caps/>
          <w:color w:val="ffffff" w:themeColor="background1"/>
          <w:spacing w:val="20"/>
          <w:sz w:val="26"/>
          <w:szCs w:val="26"/>
        </w:rPr>
      </w:r>
      <w:r>
        <w:rPr>
          <w:rFonts w:ascii="PT Astra Serif" w:hAnsi="PT Astra Serif" w:cs="PT Astra Serif"/>
          <w:caps/>
          <w:color w:val="ffffff" w:themeColor="background1"/>
          <w:spacing w:val="20"/>
          <w:sz w:val="26"/>
          <w:szCs w:val="26"/>
        </w:rPr>
      </w:r>
    </w:p>
    <w:p>
      <w:pPr>
        <w:jc w:val="both"/>
        <w:tabs>
          <w:tab w:val="center" w:pos="4153" w:leader="none"/>
          <w:tab w:val="right" w:pos="8306" w:leader="none"/>
        </w:tabs>
        <w:rPr>
          <w:rFonts w:ascii="PT Astra Serif" w:hAnsi="PT Astra Serif" w:cs="PT Astra Serif"/>
          <w:caps/>
          <w:spacing w:val="20"/>
          <w:sz w:val="26"/>
          <w:szCs w:val="26"/>
        </w:rPr>
      </w:pPr>
      <w:r>
        <w:rPr>
          <w:rFonts w:ascii="PT Astra Serif" w:hAnsi="PT Astra Serif" w:eastAsia="PT Astra Serif" w:cs="PT Astra Serif"/>
          <w:caps/>
          <w:spacing w:val="20"/>
          <w:sz w:val="26"/>
          <w:szCs w:val="26"/>
        </w:rPr>
      </w:r>
      <w:r>
        <w:rPr>
          <w:rFonts w:ascii="PT Astra Serif" w:hAnsi="PT Astra Serif" w:cs="PT Astra Serif"/>
          <w:caps/>
          <w:spacing w:val="20"/>
          <w:sz w:val="26"/>
          <w:szCs w:val="26"/>
        </w:rPr>
      </w:r>
      <w:r>
        <w:rPr>
          <w:rFonts w:ascii="PT Astra Serif" w:hAnsi="PT Astra Serif" w:cs="PT Astra Serif"/>
          <w:caps/>
          <w:spacing w:val="20"/>
          <w:sz w:val="26"/>
          <w:szCs w:val="26"/>
        </w:rPr>
      </w:r>
    </w:p>
    <w:p>
      <w:pPr>
        <w:ind w:left="851" w:right="84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лана мероприятий (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«дорожной карты») 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Повышение производительности труда в сфере социального обслуживания (социальной защиты)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 </w:t>
      </w:r>
      <w:r>
        <w:rPr>
          <w:rFonts w:ascii="PT Astra Serif" w:hAnsi="PT Astra Serif" w:eastAsia="PT Astra Serif" w:cs="PT Astra Serif"/>
          <w:sz w:val="26"/>
          <w:szCs w:val="26"/>
        </w:rPr>
        <w:br/>
      </w:r>
      <w:r>
        <w:rPr>
          <w:rFonts w:ascii="PT Astra Serif" w:hAnsi="PT Astra Serif" w:eastAsia="PT Astra Serif" w:cs="PT Astra Serif"/>
          <w:sz w:val="26"/>
          <w:szCs w:val="26"/>
        </w:rPr>
        <w:t xml:space="preserve">на 202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6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– 20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30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годы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целях исполнения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Указа Президента Российской Федерации от 07.05.2024 № 309 «О национальных целях развития Российской Федерации на период до 2030 года и на перспективу до 2036 года»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Утвердить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лан мероприятий («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дорожную карту») 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Повышение производительности труда в сфере социального обслуживания (социальной защиты)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 на 202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6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– 20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30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годы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(далее – 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лан)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согласно приложению к настоящему распоряжению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Департаменту социальной защиты населения Томской области, Департаменту по вопросам семьи и детей Томской области обеспечивать: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1) реализацию мероприятий Плана в установленные Планом сроки;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2) подготовку информации о ходе выполнения Плана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 социальной защиты населения Томской области определить исполнительным органом Томской области, ответственным за сбор информации о ходе выполнения Плана.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Контроль за исполнением настоящего распоряжения возложить на заместителя председателя Правительства Томской области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(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 социальной политике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0" w:firstLine="0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pacing w:before="60"/>
        <w:tabs>
          <w:tab w:val="left" w:pos="765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pacing w:before="60"/>
        <w:tabs>
          <w:tab w:val="left" w:pos="765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pacing w:before="60"/>
        <w:tabs>
          <w:tab w:val="left" w:pos="793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Председатель Правительства </w:t>
      </w:r>
      <w:r>
        <w:rPr>
          <w:rFonts w:ascii="PT Astra Serif" w:hAnsi="PT Astra Serif" w:eastAsia="PT Astra Serif" w:cs="PT Astra Serif"/>
          <w:sz w:val="26"/>
          <w:szCs w:val="26"/>
        </w:rPr>
        <w:br w:type="textWrapping" w:clear="all"/>
        <w:t xml:space="preserve">Томской области                                                                                      А.В. Кондратьев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spacing w:before="12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pacing w:before="12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pacing w:before="12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pacing w:before="12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pacing w:before="12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pacing w:before="20"/>
        <w:rPr>
          <w:rFonts w:ascii="PT Astra Serif" w:hAnsi="PT Astra Serif" w:cs="PT Astra Serif"/>
          <w:sz w:val="26"/>
          <w:szCs w:val="26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418" w:right="851" w:bottom="1134" w:left="1701" w:header="567" w:footer="567" w:gutter="0"/>
          <w:pgNumType w:start="2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Назаревич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О.Н.</w:t>
      </w:r>
      <w:r>
        <w:rPr>
          <w:rFonts w:ascii="PT Astra Serif" w:hAnsi="PT Astra Serif" w:eastAsia="PT Astra Serif" w:cs="PT Astra Serif"/>
          <w:color w:val="ffffff" w:themeColor="background1"/>
          <w:sz w:val="20"/>
          <w:szCs w:val="20"/>
        </w:rPr>
        <w:t xml:space="preserve">2</w:t>
      </w:r>
      <w:r>
        <w:rPr>
          <w:rFonts w:ascii="PT Astra Serif" w:hAnsi="PT Astra Serif" w:eastAsia="PT Astra Serif" w:cs="PT Astra Serif"/>
          <w:color w:val="ffffff" w:themeColor="background1"/>
          <w:sz w:val="26"/>
          <w:szCs w:val="26"/>
        </w:rPr>
        <w:t xml:space="preserve">21</w:t>
      </w:r>
      <w:r>
        <w:rPr>
          <w:rFonts w:ascii="PT Astra Serif" w:hAnsi="PT Astra Serif" w:eastAsia="PT Astra Serif" w:cs="PT Astra Serif"/>
          <w:color w:val="ffffff" w:themeColor="background1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5954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УТВЕРЖДЕН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5954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аспоряжением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Правительства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Томской области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5954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от </w:t>
      </w:r>
      <w:r>
        <w:rPr>
          <w:rFonts w:ascii="PT Astra Serif" w:hAnsi="PT Astra Serif" w:eastAsia="PT Astra Serif" w:cs="PT Astra Serif"/>
          <w:color w:val="ffffff" w:themeColor="background1"/>
          <w:sz w:val="26"/>
          <w:szCs w:val="26"/>
        </w:rPr>
        <w:t xml:space="preserve">22.09.2021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№ </w:t>
      </w:r>
      <w:r>
        <w:rPr>
          <w:rFonts w:ascii="PT Astra Serif" w:hAnsi="PT Astra Serif" w:eastAsia="PT Astra Serif" w:cs="PT Astra Serif"/>
          <w:color w:val="ffffff" w:themeColor="background1"/>
          <w:sz w:val="26"/>
          <w:szCs w:val="26"/>
        </w:rPr>
        <w:t xml:space="preserve">547-ра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6095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6095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851" w:right="84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План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851" w:right="84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мероприятий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(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«дорожн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карт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») 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Повышение производительности труда в сфере социального обслуживания (социальной защиты)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 на 202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6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– 20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30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годы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contextualSpacing w:val="0"/>
        <w:ind w:left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1. 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Общ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ие положения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contextualSpacing w:val="0"/>
        <w:ind w:left="714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Повышение производительно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сти труда в сфере социального обслуживания (социальной защиты) Томской области является составной частью мероприятий в рамках реализации федерального проекта «Производительность труда», входящего в состав национального проекта «Эффективная и конкурентная э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кономика», а также позволит обеспечить достижение национальной цели развития Российской Федерации на период до 2030 года «Вовлечение к 2030 году в работу по повышению производительности труда не менее чем 40 процентов средних и крупных предприятий базовых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несырьевых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отраслей экономики и 100 процентов государственных и муниципальных организаций социальной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сферы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 реализацию проектов, направленных на повышение производительности труда», предусмотренной подпунктом «з» пункта 6 Указа Президента Российской Федерации от 07.05.2024       № 309 «О национальных целях развития Российской Федерации на период до 2030 года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 на перспективу до 2036 года».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План мероприятий («дорожная карта») «Повышение производительности труда в сфере социального обслуживания (социальной защиты) Томской области» на 2026 – 2030 годы (далее –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региональная дорожная карта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) направлен на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овышение производительности труда в сфере социального обслуживания Томской области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за счет укрупнения и перепрофилирования сети организаций, централизации обеспечивающих функций, внедрения цифровых решений и перераспределения кадровых ресурсов в пользу основного персонала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Реализация комплекса мероприятий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региональной дорожной карты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позволит увеличить количество социальных услуг, предоставляемых в расчете на од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ного основного работника, и обеспечить достижение к 2030 году целевых показателей федерального проекта «Производительность труда».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Томской области полномочия в сфере социального обслуживания осуществляют два исполнительных органа: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Департамент социальной защиты населения Томской области — в отношении совершеннолетних получателей социальных услуг;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Департамент по вопросам семьи и детей Томской области — в отношении несовершеннолетних получателей социальных услуг, семей с детьми, детей-сирот и детей, оставшихся без попечения родителей.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Указанные департаменты являются ответственными исполнителями настоящей дорожной карты. Координацию их взаимодействия обеспечивает з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аместитель Председателя Правительства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(по социальной политике), выступающий куратором региональной дорожной карты.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9"/>
        <w:jc w:val="both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bCs/>
          <w:sz w:val="26"/>
          <w:szCs w:val="26"/>
        </w:rPr>
        <w:t xml:space="preserve">Реализация региональной дорожной карты осуществляется в четыре этапа: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19"/>
        </w:numPr>
        <w:ind w:left="0" w:right="0" w:firstLine="850"/>
        <w:jc w:val="both"/>
        <w:tabs>
          <w:tab w:val="left" w:pos="709" w:leader="none"/>
          <w:tab w:val="left" w:pos="850" w:leader="none"/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bCs/>
          <w:sz w:val="26"/>
          <w:szCs w:val="26"/>
        </w:rPr>
        <w:t xml:space="preserve"> проведение оценки текущего состояния системы социального обслуживания (социальной защиты) Томской области;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19"/>
        </w:numPr>
        <w:ind w:left="0" w:right="0" w:firstLine="850"/>
        <w:jc w:val="both"/>
        <w:tabs>
          <w:tab w:val="left" w:pos="850" w:leader="none"/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bCs/>
          <w:sz w:val="26"/>
          <w:szCs w:val="26"/>
        </w:rPr>
        <w:t xml:space="preserve"> определение вызовов и «проблемных зон», связанных с недостаточной производительностью труда;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19"/>
        </w:numPr>
        <w:ind w:left="0" w:right="0" w:firstLine="850"/>
        <w:jc w:val="both"/>
        <w:tabs>
          <w:tab w:val="left" w:pos="709" w:leader="none"/>
          <w:tab w:val="left" w:pos="850" w:leader="none"/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bCs/>
          <w:sz w:val="26"/>
          <w:szCs w:val="26"/>
        </w:rPr>
        <w:t xml:space="preserve"> установление целевых показателей региональной дорожной карты на период до 2030 года;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19"/>
        </w:numPr>
        <w:ind w:left="0" w:right="0" w:firstLine="850"/>
        <w:jc w:val="both"/>
        <w:tabs>
          <w:tab w:val="left" w:pos="709" w:leader="none"/>
          <w:tab w:val="left" w:pos="850" w:leader="none"/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Cs/>
          <w:sz w:val="26"/>
          <w:szCs w:val="26"/>
        </w:rPr>
        <w:t xml:space="preserve"> формирование и выполнение комплекса региональных мероприятий по повышению производительности труда.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 w:firstLine="709"/>
        <w:jc w:val="both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bCs/>
          <w:sz w:val="26"/>
          <w:szCs w:val="26"/>
          <w:highlight w:val="none"/>
        </w:rPr>
        <w:t xml:space="preserve">Региональная дорожная карта утверждается распоряжением Правительства Томской области. Внесение изменений в дорожную карту осуществляется по мере необходимости.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9"/>
        <w:jc w:val="both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Cs/>
          <w:sz w:val="26"/>
          <w:szCs w:val="26"/>
          <w:highlight w:val="none"/>
        </w:rPr>
        <w:t xml:space="preserve">Положительным результатом реализации дорожной карты считается достижение или превышение целевых значений показателей, установленных разделом 4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none"/>
        </w:rPr>
        <w:t xml:space="preserve">региональной дорожной карты</w:t>
      </w:r>
      <w:r>
        <w:rPr>
          <w:rFonts w:ascii="PT Astra Serif" w:hAnsi="PT Astra Serif" w:eastAsia="PT Astra Serif" w:cs="PT Astra Serif"/>
          <w:bCs/>
          <w:sz w:val="26"/>
          <w:szCs w:val="26"/>
          <w:highlight w:val="none"/>
        </w:rPr>
        <w:t xml:space="preserve">, при безусловном сохранении доступности и качества социальных услуг для населения Томской обл</w:t>
      </w:r>
      <w:r>
        <w:rPr>
          <w:rFonts w:ascii="PT Astra Serif" w:hAnsi="PT Astra Serif" w:eastAsia="PT Astra Serif" w:cs="PT Astra Serif"/>
          <w:bCs/>
          <w:sz w:val="26"/>
          <w:szCs w:val="26"/>
          <w:highlight w:val="none"/>
        </w:rPr>
        <w:t xml:space="preserve">асти.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 w:firstLine="709"/>
        <w:jc w:val="both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bCs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ind w:firstLine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2. 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Оценка состояния системы социального обслуживания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4"/>
        <w:ind w:firstLine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(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социальной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защиты) Томской области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4"/>
        <w:ind w:firstLine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4"/>
        <w:ind w:firstLine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2.1. Характеристики получателей социальных услуг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4"/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Н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а основании данных Территориального органа Фе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деральной службы государственной статистики по Томской области, Отделения Фонда пенсионного и социального страхования Российской Федерации по Томской области, а также сведений ведомственной информационной системы социальной защиты населения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(далее – ВИС) проведен анализ динамики численности отдельных категорий граждан, формирующих потенциальную потребность в социальном обслуживании на территории региона.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бщая численность населения Томской области по состоянию на 1 января 2025 года составила 1 039 728 человек, сократившись по сравнению с 2023 годом на 1,2 %. Для региона характерны низкая плотность населения, высокая доля сельских и труднодоступных территори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й, значительная протяженность муниципальных образований. Указанные факторы оказывают прямое влияние на организацию предоставления социальных услуг и производительность труда работников организаций социального обслуживания.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рамках анализа за период 2021–2025 годов в качестве ключевых групп, определяющих основную потребность в социальном обслуживании, выделены: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граждане пожилого возраста (65 лет и старше, за исключением инвалидов);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инвалиды всех возрастных групп;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дети-инвалиды;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дети-сироты и дети, оставшиеся без попечения родителей.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Данные об инвалидах в возрасте от 18 до 64 лет представлены по укрупненной возрастной группе, что обусловлено отсутствием в региональном статистическом учете более детальной разбивки по подгруппам (молодые инвалиды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, инвалиды 35–64 лет) в разрезе, необходимом для корректного заполнения таблицы. В связи с этим анализ и прогнозирование по данной категории осуществляются исходя из общего контингента лиц 18–64 лет без внутренней возрастной дифференциации.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При определении доли граждан, проживающих в труднодоступной и отдаленной местности, использовался перечень, утвержденный Законом Томской области от 14 мая 2005 года № 84-ОЗ «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Об утверждении перечня труднодоступных или отдаленных местностей в Томской области»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 Данные о численности населения таких населенных пунктов представлены по данным адми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нистраций соответствующих муниципальных образований.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ные категории граждан, признаваемые нуждающимися в социальном обслуживании, определены Приказом Департамента социальной защиты населения Томской области от 10 декабря 2015 года № 32 «Об обстоятельствах, которые ухудшают или способны ухудшить условия жизнед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ятельности граждан, для признания их нуждающимися в социальном обслуживании». К таким категориям относятся больные наркоманией и лица, в отношении которых применяется пробация. По данным ВИС, доля получателей социальных услуг из числа указанных кат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егорий составляет менее одного процента от общего контингента обслуживаемых лиц и не оказывает существенного влияния на нагрузку системы социального обслуживания региона.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Д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инамика показателей, характеризующих перечисленные категории, а также уровень их охвата социальными услугами, обобщены в приложении № 2 к настоящему Плану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ind w:firstLine="708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Таблица 1. Оценка изменения потребности в социальном обслуживании по ключевым группам граждан до 2030 года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1024"/>
        <w:ind w:firstLine="708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tbl>
      <w:tblPr>
        <w:tblStyle w:val="1021"/>
        <w:tblW w:w="0" w:type="auto"/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09"/>
      </w:tblGrid>
      <w:tr>
        <w:tblPrEx/>
        <w:trPr/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Ключевая группа граждан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ind w:left="0"/>
              <w:jc w:val="center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Основная форма обслуживания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pStyle w:val="1024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ind w:left="0"/>
              <w:jc w:val="center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Оценка изменения потребности к 2030 году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pStyle w:val="1024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ind w:left="0"/>
              <w:jc w:val="center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Основные факторы роста (снижения)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pStyle w:val="1024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Граждане пожилого возраста (65 лет и старше, за исключением инвалидов)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Социальное обслуживание на дому, стационарное социальное обслуживание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Рост потребности на 13–15 % в целом по системе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Устойчивый рост численности пожилого населения (прогноз до 178,6 тыс. чел.); увеличение доли лиц старческого </w:t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возраста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Инвалиды (взрослые, 18 лет и старше)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Социальное обслуживание на дому, стационарное социальное обслуживание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  <w:p>
            <w:pPr>
              <w:pStyle w:val="1024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Умеренный рост потребности, преимущественно за счет инвалидов старших возрастных групп (65 лет и старше)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Увеличение численности инвалидов пожилого возраста; рост потребности в уходе и сопровождении; структурное смещение контингента в сторону старших возрастных групп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Дети-инвалиды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Полустационарная и стационарная формы социального обслуживания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Снижение потребности, обусловленное сокращением численности контингента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ind w:left="0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Сокращение общей численности детей-инвалидов (–20,2 % за 2021–2025 гг.); уменьшение доли проживающих в сельской местности; стабильный уровень охвата нуждающихся услугами (около 23–24 %)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Дети-сироты и дети, оставшиеся без попечения родителей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стационарная форма социального обслуживания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ind w:left="0"/>
              <w:jc w:val="both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Снижение потребности вследствие уменьшения численности контингента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1024"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Снижение абсолютной численности детей-сирот (–24,1 % за 2021–2025 гг.)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</w:tbl>
    <w:p>
      <w:pPr>
        <w:pStyle w:val="1024"/>
        <w:ind w:firstLine="0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4"/>
        <w:ind w:firstLine="708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По результатам анализа динамики показателей за 2021–2025 годы установлено следующее.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4"/>
        <w:ind w:firstLine="708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сновной прирост потенциальной потребности в социальном обслуживании формируется за счет устойчивого увеличения численности граждан пожилого возраста (65 лет и старше, не являющихся инвалидами). За рассматриваемый период абсолютная численность данной катего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ии возросла на 12,6 %, а ее доля в общей численности населения региона достигла 16,36 %. Несмотря на относительно стабильную долю лиц, признанных нуждающимися и получивших социальные услуги (2,2–2,4 %), абсолютное число обслуживаемых пожилых граждан увелич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ивается, что обуславливает рост нагрузки на организации социального обслуживания.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ind w:firstLine="708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Ч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исленность инвалидов всех возрастных групп в целом сохраняется на относительно стабильном уровне (около 62–63 тыс. человек). Вместе с тем внутри данной категории зафиксированы разнонаправленные структурные изменения: при увеличении числа инвалидов старших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озрастных групп (65 лет и старше) наблюдается сокращение численности детей-инвалидов (на 20,2 %). Данное обстоятельство указывает на смещение акцента в структуре потребности с реабилитационных услуг для детей на услуги по долговременному уходу и сопровожде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нию для инвалидов пожилого возраста.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ind w:firstLine="708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Ч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исленность детей-сирот и детей, оставшихся без попечения родителей, а также детей-инвалидов последовательно снижается (–24,1 % и –20,2 % соответственно). Сокращение данных категорий объективно уменьшает нагрузку на соответствующие виды социального обслужив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ания (стационарное обслуживание детей-сирот, реабилитационные услуги детям-инвалидам). При этом охват услугами детей-сирот сохраняется на уровне 100 %, а детей-инвалидов – в пределах 23–24 % от их общей численности.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ind w:firstLine="708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К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атегории «граждане, находящиеся в трудной жизненной ситуации» и «малоимущие семьи» (в рамках учета, исключающего их принадлежность к приоритетным группам – пожилым и инвалидам) не создают статистически значимой дополнительной нагрузки на систему социальног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 обслуживания. Численность фактически обслуженных лиц из данных категорий либо равна нулю (малоимущие семьи), либо составляет незначительную величину (менее 1 % от численности группы по ТЖС).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ind w:firstLine="708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настоящее время основная нагрузка на персонал учреждений социального обслуживания формируется преимущественно за счет надомного обслуживания граждан пожилого возраста и инвалидов. На данную форму работы приходится порядка 78 % рабочего времени основного п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рсонала. С учетом прогнозируемого дальнейшего роста численности лиц старших возрастных групп (до 178,6 тыс. человек к 2030 году) и расширения доли надомных и стационарозамещающих технологий (с 56 % до 68 %) общая потребность в социальном обслуживании может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возрасти на 13–15 %.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4"/>
        <w:ind w:firstLine="708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зложенное свидетельствует о необходимости планирования развития сети и штатной численности организаций социального обслуживания с учетом прогнозируемого увеличения численности пожилых граждан и инвалидов старших возрастов, а также принятия мер по повышению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производительности труда персонала.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4"/>
        <w:ind w:firstLine="0"/>
        <w:rPr>
          <w:rFonts w:ascii="PT Astra Serif" w:hAnsi="PT Astra Serif" w:cs="PT Astra Serif"/>
          <w:sz w:val="26"/>
          <w:szCs w:val="26"/>
          <w:highlight w:val="cyan"/>
        </w:rPr>
      </w:pPr>
      <w:r>
        <w:rPr>
          <w:rFonts w:ascii="PT Astra Serif" w:hAnsi="PT Astra Serif" w:eastAsia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2.2. Описание сети организаций, подведомственной исполнительным органам Томской области в сфере социального обслуживания, и определение организаций, входящих в региональную дорожную карту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Система социального обслуживания Томской области по состоянию на начало 2026 года представлена сетью организаций, подведомственных двум исполнительным органам власти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структуре системы социального обслуживания совершеннолетних граждан (подведомственность Департамента социальной защиты населения Томской области) функционирует 30 государственных организаций социального обслуживания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включенных в реестр поставщиков социальных услуг.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Таблица 2. Динамика количества организаций в системе социального обслуживания (социальной защиты) в субъекте Российской Федерации в 2021-2025 годах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tbl>
      <w:tblPr>
        <w:tblStyle w:val="1021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5249"/>
        <w:gridCol w:w="736"/>
        <w:gridCol w:w="736"/>
        <w:gridCol w:w="736"/>
        <w:gridCol w:w="736"/>
        <w:gridCol w:w="736"/>
      </w:tblGrid>
      <w:tr>
        <w:tblPrEx/>
        <w:trPr/>
        <w:tc>
          <w:tcPr>
            <w:tcW w:w="0" w:type="auto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Категория организаций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gridSpan w:val="5"/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Количество организаций на конец периода (год)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  <w:tr>
        <w:tblPrEx/>
        <w:trPr/>
        <w:tc>
          <w:tcPr>
            <w:tcW w:w="0" w:type="auto"/>
            <w:vMerge w:val="continue"/>
            <w:textDirection w:val="lrTb"/>
            <w:noWrap w:val="false"/>
          </w:tcPr>
          <w:p>
            <w:pPr>
              <w:ind w:firstLine="0"/>
              <w:jc w:val="center"/>
              <w:rPr>
                <w:rFonts w:eastAsia="Times New Roman"/>
                <w:sz w:val="24"/>
                <w:lang w:eastAsia="ru-RU"/>
              </w:rPr>
            </w:pPr>
            <w:r>
              <w:rPr>
                <w:rFonts w:eastAsia="Times New Roman"/>
                <w:sz w:val="24"/>
                <w:lang w:eastAsia="ru-RU"/>
              </w:rPr>
            </w:r>
            <w:r>
              <w:rPr>
                <w:rFonts w:eastAsia="Times New Roman"/>
                <w:sz w:val="24"/>
                <w:lang w:eastAsia="ru-RU"/>
              </w:rPr>
            </w:r>
            <w:r>
              <w:rPr>
                <w:rFonts w:eastAsia="Times New Roman"/>
                <w:sz w:val="24"/>
                <w:lang w:eastAsia="ru-RU"/>
              </w:rPr>
            </w:r>
          </w:p>
        </w:tc>
        <w:tc>
          <w:tcPr>
            <w:tcW w:w="0" w:type="auto"/>
            <w:vMerge w:val="continue"/>
            <w:textDirection w:val="lrTb"/>
            <w:noWrap w:val="false"/>
          </w:tcPr>
          <w:p>
            <w:pPr>
              <w:ind w:firstLine="0"/>
              <w:jc w:val="center"/>
              <w:rPr>
                <w:rFonts w:eastAsia="Times New Roman"/>
                <w:sz w:val="24"/>
                <w:lang w:eastAsia="ru-RU"/>
              </w:rPr>
            </w:pPr>
            <w:r>
              <w:rPr>
                <w:rFonts w:eastAsia="Times New Roman"/>
                <w:sz w:val="24"/>
                <w:lang w:eastAsia="ru-RU"/>
              </w:rPr>
            </w:r>
            <w:r>
              <w:rPr>
                <w:rFonts w:eastAsia="Times New Roman"/>
                <w:sz w:val="24"/>
                <w:lang w:eastAsia="ru-RU"/>
              </w:rPr>
            </w:r>
            <w:r>
              <w:rPr>
                <w:rFonts w:eastAsia="Times New Roman"/>
                <w:sz w:val="24"/>
                <w:lang w:eastAsia="ru-RU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2021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2022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2023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2024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gridSpan w:val="6"/>
            <w:tcW w:w="0" w:type="auto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Организации, относящиеся к системе социального обслуживания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1.1.</w:t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Организации, уполномоченные на признание граждан нуждающимися в социальном обслуживании и составление индивидуальной программы предоставления социальных услуг, ед.</w:t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44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44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44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44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44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1.2.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Государственные организации социального обслуживания, включенные в реестр поставщиков социальных услуг, ед.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55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1.3.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Всего организаций, относящихся к системе социального обслуживания, ед.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55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gridSpan w:val="6"/>
            <w:tcW w:w="0" w:type="auto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Организации, не относящиеся к системе социального обслуживания (организации социальной защиты)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2.1.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Организации, осуществляющие назначение и предоставление мер социальной поддержки, выплату денежных пособий и т.п.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8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8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8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8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2.2.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Организации для детей-сирот и детей, оставшихся без попечения родителей</w:t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highlight w:val="white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highlight w:val="yellow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yellow"/>
              </w:rPr>
            </w:r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2.3.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Реабилитационные организации системы комплексной реабилитации 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абилитации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2.4.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Ресурсно-методические и координационные центры (обеспечивающие деятельность организаций социального обслуживания)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2.5.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Организации, осуществляющие вспомогательные функции (обеспечивающие деятельность организаций социального обслуживания)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</w:tbl>
    <w:p>
      <w:pPr>
        <w:pStyle w:val="1039"/>
        <w:contextualSpacing/>
        <w:ind w:firstLine="540"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Организации социального обслуживания, подведомственные Департаменту социальной защиты населения Томской области: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4"/>
        </w:numPr>
        <w:contextualSpacing/>
        <w:ind w:left="0" w:right="0" w:firstLine="567"/>
        <w:jc w:val="both"/>
        <w:spacing w:before="240"/>
        <w:tabs>
          <w:tab w:val="left" w:pos="85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17 центров социальной поддержки населения, предоставляющих социальные услуги на дому, осуществляющих признание граждан нуждающимися в социальном обслуживании, а также предоставляющих меры социальной поддержки гражданам;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4"/>
        </w:numPr>
        <w:contextualSpacing/>
        <w:ind w:left="0" w:right="0" w:firstLine="567"/>
        <w:jc w:val="both"/>
        <w:spacing w:before="240"/>
        <w:tabs>
          <w:tab w:val="left" w:pos="85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 комплексных центра социального обслуживания населения — в городе Томске и ЗАТО Северск;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4"/>
        </w:numPr>
        <w:contextualSpacing/>
        <w:ind w:left="0" w:right="0" w:firstLine="567"/>
        <w:jc w:val="both"/>
        <w:spacing w:before="240"/>
        <w:tabs>
          <w:tab w:val="left" w:pos="85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центр социальной адаптации города Томска;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4"/>
        </w:numPr>
        <w:contextualSpacing/>
        <w:ind w:left="0" w:right="0" w:firstLine="567"/>
        <w:jc w:val="both"/>
        <w:spacing w:before="240"/>
        <w:tabs>
          <w:tab w:val="left" w:pos="85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10 областных государственных организаций стационарного социального обслуживания: семь домов-интернатов для престарелых и инвалидов и три дома социального обслуживания.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Дополнительно действуют 7 городских  центров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социальной поддержки, которые не предоставляют населению социальные услуги, одно 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бластное государственное казенное учреждение «Центр социальной поддержки населения по оплате жилого помещения и коммунальных услуг»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и одно 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бластное государственное казенное учреждение «Информационно-технический центр Томской области»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— всего 38 учреждений, каждое из которых является юридическим лицом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лючевой структурной особенностью действующей модели является то, что в районах региона центры социальной поддержки населения одновременно выполняют функции признания граждан нуждающимися в социальном обслуживании (составление индивидуальной программы) и не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посредственное предоставление социальных услуг в качестве поставщика. Такое совмещение создает предпосылки для конфликта интересов, снижает объективность оценки нуждаемости и увеличивает административную нагрузку на учреждения.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сфере социального обслуживания несовершеннолетних (подведомственность Департамента по вопросам семьи и детей Томской области) функционирует 24 организаций, относящихся к системе социального обслуживания: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5"/>
        </w:numPr>
        <w:contextualSpacing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3 социально-реабилитационных центра для несовершеннолетних;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5"/>
        </w:numPr>
        <w:contextualSpacing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8 центров помощи детям, оставшимся без попечения родителей;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5"/>
        </w:numPr>
        <w:contextualSpacing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8 центров социальной помощи семье и детям;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5"/>
        </w:numPr>
        <w:contextualSpacing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семейный многофункциональный центр;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5"/>
        </w:numPr>
        <w:contextualSpacing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 реабилитационных центра для детей и подростков с ограниченными возможностями;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5"/>
        </w:numPr>
        <w:contextualSpacing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numPr>
          <w:ilvl w:val="0"/>
          <w:numId w:val="25"/>
        </w:numPr>
        <w:contextualSpacing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детский дом-интернат для умственно отсталых детей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се государственные организа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ции Департамента по вопросам семьи и детей Томской области одновременно уполномочены на признание граждан нуждающимися в социальном обслуживании. Организации, не относящиеся к системе социального обслуживания (социальной защиты), в ведении указанного депар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тамента отсутствуют.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еть организаций социального обслуживания региона складывалась в условиях низкой плотности населения и значительной территориальной разобщенности муниципальных образований, что привело к появлению значительного количества малочисленных стационарных учрежден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ий и дублированию административных функций в каждой организации.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Таблица 3. Сегментация организаций социального обслуживания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1039"/>
        <w:contextualSpacing/>
        <w:ind w:firstLine="540"/>
        <w:jc w:val="both"/>
        <w:spacing w:before="240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tbl>
      <w:tblPr>
        <w:tblStyle w:val="1021"/>
        <w:tblW w:w="0" w:type="auto"/>
        <w:tblLook w:val="04A0" w:firstRow="1" w:lastRow="0" w:firstColumn="1" w:lastColumn="0" w:noHBand="0" w:noVBand="1"/>
      </w:tblPr>
      <w:tblGrid>
        <w:gridCol w:w="2316"/>
        <w:gridCol w:w="2274"/>
        <w:gridCol w:w="2389"/>
        <w:gridCol w:w="2366"/>
      </w:tblGrid>
      <w:tr>
        <w:tblPrEx/>
        <w:trPr/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Среднемесячная численность обслуживаемых граждан менее 100 человек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Среднемесячная численность обслуживаемых граждан от 100 до 1000 человек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Среднемесячная численность обслуживаемых граждан более 1000 человек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</w:tr>
      <w:tr>
        <w:tblPrEx/>
        <w:trPr/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Предоставление социальных услуг только в стационарной форме социального обслуживания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7 организаций,</w:t>
            </w:r>
            <w:r>
              <w:rPr>
                <w:sz w:val="22"/>
                <w:szCs w:val="22"/>
              </w:rPr>
              <w:t xml:space="preserve"> ед. (из них осуществляет деятельность в сельской местности, 7</w:t>
            </w:r>
            <w:r>
              <w:rPr>
                <w:sz w:val="22"/>
                <w:szCs w:val="22"/>
              </w:rPr>
              <w:t xml:space="preserve"> 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организаций, </w:t>
            </w:r>
            <w:r>
              <w:rPr>
                <w:sz w:val="22"/>
                <w:szCs w:val="22"/>
              </w:rPr>
              <w:t xml:space="preserve">ед. (из них осуществляет деятельность в сельской местности,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10 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организация</w:t>
            </w:r>
            <w:r>
              <w:rPr>
                <w:sz w:val="22"/>
                <w:szCs w:val="22"/>
              </w:rPr>
              <w:t xml:space="preserve">, ед. (из них осуществляет деятельн</w:t>
            </w:r>
            <w:r>
              <w:rPr>
                <w:sz w:val="22"/>
                <w:szCs w:val="22"/>
              </w:rPr>
              <w:t xml:space="preserve">ость в сельской местности,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1 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</w:tr>
      <w:tr>
        <w:tblPrEx/>
        <w:trPr/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Предоставление социальных услуг только в полустационарной форме социального обслуживания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организация</w:t>
            </w:r>
            <w:r>
              <w:rPr>
                <w:sz w:val="22"/>
                <w:szCs w:val="22"/>
              </w:rPr>
              <w:t xml:space="preserve">, ед. (из них осуществляет деятельность в сельской местности, </w:t>
            </w:r>
            <w:r>
              <w:rPr>
                <w:sz w:val="22"/>
                <w:szCs w:val="22"/>
              </w:rPr>
              <w:t xml:space="preserve">0 </w:t>
            </w:r>
            <w:r>
              <w:rPr>
                <w:sz w:val="22"/>
                <w:szCs w:val="22"/>
              </w:rPr>
              <w:t xml:space="preserve">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организация, ед. (из них осуществляет деятельность в сельской местности,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0 </w:t>
            </w:r>
            <w:r>
              <w:rPr>
                <w:sz w:val="22"/>
                <w:szCs w:val="22"/>
              </w:rPr>
              <w:t xml:space="preserve">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 организаций, ед. (из них осуществляет деятельность в сельской местности,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5 </w:t>
            </w:r>
            <w:r>
              <w:rPr>
                <w:sz w:val="22"/>
                <w:szCs w:val="22"/>
              </w:rPr>
              <w:t xml:space="preserve">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</w:tr>
      <w:tr>
        <w:tblPrEx/>
        <w:trPr/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Предоставление социальных услуг только в форме социального обслуживания на дому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  <w:t xml:space="preserve"> организаций, ед. (из них осуществляет деятельн</w:t>
            </w:r>
            <w:r>
              <w:rPr>
                <w:sz w:val="22"/>
                <w:szCs w:val="22"/>
              </w:rPr>
              <w:t xml:space="preserve">ость в сельской местности, 7 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  <w:t xml:space="preserve"> организаций, ед. (из них осуществляет деятельность в сельской местности,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7 </w:t>
            </w:r>
            <w:r>
              <w:rPr>
                <w:sz w:val="22"/>
                <w:szCs w:val="22"/>
              </w:rPr>
              <w:t xml:space="preserve">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 организаций, ед. (из них осуществляет деятельность в сельской местности,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0 </w:t>
            </w:r>
            <w:r>
              <w:rPr>
                <w:sz w:val="22"/>
                <w:szCs w:val="22"/>
              </w:rPr>
              <w:t xml:space="preserve">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</w:tr>
      <w:tr>
        <w:tblPrEx/>
        <w:trPr/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Предоставление только срочных социальных услуг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 организаций, ед. (из них осуществляет деятельн</w:t>
            </w:r>
            <w:r>
              <w:rPr>
                <w:sz w:val="22"/>
                <w:szCs w:val="22"/>
              </w:rPr>
              <w:t xml:space="preserve">ость в сельской местности, 0 ед.)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</w:t>
            </w:r>
            <w:r>
              <w:rPr>
                <w:sz w:val="22"/>
                <w:szCs w:val="22"/>
              </w:rPr>
              <w:t xml:space="preserve">организаций, ед. (из них осуществляет деятельн</w:t>
            </w:r>
            <w:r>
              <w:rPr>
                <w:sz w:val="22"/>
                <w:szCs w:val="22"/>
              </w:rPr>
              <w:t xml:space="preserve">ость в сельской местности,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ед.)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 организаций, ед. (из них осуществляет деятельность в сельской местности,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ед.)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Предоставление социального обслуживание в сочетании форм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407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 организаций, ед. (из них осуществляет деятельность в сельской местности, </w:t>
            </w:r>
            <w:r>
              <w:rPr>
                <w:sz w:val="22"/>
                <w:szCs w:val="22"/>
              </w:rPr>
              <w:t xml:space="preserve">0 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 организации, ед. (из них осуществляет деятельность в сельской местности,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2 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организации</w:t>
            </w:r>
            <w:r>
              <w:rPr>
                <w:sz w:val="22"/>
                <w:szCs w:val="22"/>
              </w:rPr>
              <w:t xml:space="preserve">, ед. (из них осуществляет деятельность в сельской местности,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ед.)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</w:tr>
    </w:tbl>
    <w:p>
      <w:pPr>
        <w:pStyle w:val="1039"/>
        <w:contextualSpacing/>
        <w:ind w:firstLine="540"/>
        <w:jc w:val="both"/>
        <w:spacing w:before="2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контур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региональной дорожной карты включены организации перечисленные 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Приложении № 3 к настоящему Плану.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  <w:highlight w:val="cyan"/>
        </w:rPr>
      </w:pPr>
      <w:r>
        <w:rPr>
          <w:rFonts w:ascii="PT Astra Serif" w:hAnsi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  <w:highlight w:val="cyan"/>
        </w:rPr>
      </w:pPr>
      <w:r>
        <w:rPr>
          <w:rFonts w:ascii="PT Astra Serif" w:hAnsi="PT Astra Serif" w:eastAsia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</w:p>
    <w:p>
      <w:pPr>
        <w:ind w:firstLine="709"/>
        <w:jc w:val="center"/>
        <w:shd w:val="clear" w:color="auto" w:fill="auto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2.3. Структура персонала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  <w:highlight w:val="cyan"/>
        </w:rPr>
      </w:pPr>
      <w:r>
        <w:rPr>
          <w:rFonts w:ascii="PT Astra Serif" w:hAnsi="PT Astra Serif" w:eastAsia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</w:p>
    <w:p>
      <w:pPr>
        <w:contextualSpacing/>
        <w:ind w:firstLine="708"/>
        <w:jc w:val="both"/>
        <w:spacing w:after="24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По состоянию на 2025 год общая численность работников организаций, подведомственных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Департаменту социальной защиты населения Томской области и входящих в региональную дорожную карту, составила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2491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человек. Из них в организациях социального обслуживания занято 1795 человек, в иных подведомственных организациях — 696 человек.</w:t>
        <w:tab/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/>
        <w:ind w:firstLine="708"/>
        <w:jc w:val="both"/>
        <w:spacing w:after="24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В структуре персонала организаций социального обслуживания основной персонал насчитывает 1307 человек, что составляет 52 процента от общей численности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. При этом численность работников, непосредственно предоставляющих социальные услуги получателям, равна 723 человека, или 26 процентов от общего числа работников. Доля педагогических работников в общей структуре составляет 0,2 процента (6 человек), мед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ицинских работников — 18 процентов (450 человек). Административно-управленческий персонал (далее – АУП) насчитывает 130 человек, что соответствует 5 процентам от общей численности работников. Вспомогательный персонал составляет 358 человек — 14 процентов.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/>
        <w:ind w:firstLine="708"/>
        <w:jc w:val="both"/>
        <w:spacing w:after="24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В структуре иных подведомственных организаций: основной персонал — 492 человека, АУП — 105 человек, вспомогательный персонал — 99 человек.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Анализ динамики за период с 2021 по 2025 год позволяет сделать следующие выводы: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27"/>
        </w:numPr>
        <w:contextualSpacing/>
        <w:ind w:left="0" w:right="0" w:firstLine="709"/>
        <w:jc w:val="both"/>
        <w:spacing w:before="0" w:beforeAutospacing="0" w:after="0" w:afterAutospacing="0" w:line="240" w:lineRule="auto"/>
        <w:tabs>
          <w:tab w:val="left" w:pos="992" w:leader="none"/>
        </w:tabs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численность работников АУП увеличилась на 12 человек, что обусловлено незавершенностью процессов централизации управленческих и обеспечивающих функций;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27"/>
        </w:numPr>
        <w:contextualSpacing/>
        <w:ind w:left="0" w:right="0" w:firstLine="709"/>
        <w:jc w:val="both"/>
        <w:spacing w:before="0" w:beforeAutospacing="0" w:after="0" w:afterAutospacing="0" w:line="240" w:lineRule="auto"/>
        <w:tabs>
          <w:tab w:val="left" w:pos="992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доля вспомогательного персонала сократилась с 16 до 14 процентов — положительная динамика, отражающая эффект начатых организационных преобразований;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27"/>
        </w:numPr>
        <w:contextualSpacing/>
        <w:ind w:left="0" w:right="0" w:firstLine="709"/>
        <w:jc w:val="both"/>
        <w:spacing w:before="0" w:beforeAutospacing="0" w:after="0" w:afterAutospacing="0" w:line="240" w:lineRule="auto"/>
        <w:tabs>
          <w:tab w:val="left" w:pos="992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численность осн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овного персонала увеличилась на 137 человек за тот же период. При этом численность ключевых групп получателей услуг (пожилых граждан, инвалидов, детей-инвалидов) устойчиво росла. Таким образом, нагрузка на каждого работника основного персонала увеличилась;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numPr>
          <w:ilvl w:val="0"/>
          <w:numId w:val="27"/>
        </w:numPr>
        <w:contextualSpacing/>
        <w:ind w:left="0" w:right="0" w:firstLine="652"/>
        <w:jc w:val="both"/>
        <w:spacing w:before="0" w:beforeAutospacing="0" w:after="0" w:afterAutospacing="0" w:line="240" w:lineRule="auto"/>
        <w:tabs>
          <w:tab w:val="left" w:pos="992" w:leader="none"/>
        </w:tabs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численность работников, непосредственно предоставляющих услуги,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увеличилась с 612 человек в 2021 году до 723 человек в 2025 году, то есть на 18 процентов.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/>
        <w:ind w:firstLine="652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Общая численность работников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организаций, подведомственных Департаменту по вопросам семьи и детей Томской области, на 2025 год составила 1552 человека (рост с 1403 человек в 2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021 году, или на 11 процентов). В структуре персонала: основной персонал — 977 человек (63 процента), из них непосредственно предоставляющие социальные услуги — 336 человек (22 процента), педагогические работники — 486 человека (31 процент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), медицинские работники — 139 человек (9 процентов), иные работники основного персонала — 16 человек (1 процент); АУП — 77 человек (5 процентов); вспомогательный персонал — 498 человек (32 процента).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/>
        <w:ind w:firstLine="708"/>
        <w:jc w:val="both"/>
        <w:spacing w:after="24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Особенностью структуры организаций, подвед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омственных Департаменту по вопросам семьи и детей Томской области является высокая доля педагогических работников и вспомогательного персонала, что отражает специфику учреждений для несовершеннолетних (круглосуточное пребывание, образовательный компонент).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/>
        <w:ind w:firstLine="708"/>
        <w:jc w:val="both"/>
        <w:spacing w:after="240" w:line="240" w:lineRule="auto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Наиболее востребованными категориями работников в организациях социального обслуживания являются: социальные работники; специалисты по социальной работе; психологи; медицинский персонал; специалисты по уходу.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33"/>
        <w:contextualSpacing/>
        <w:jc w:val="center"/>
        <w:spacing w:before="0" w:beforeAutospacing="0" w:after="0" w:afterAutospacing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Таблица 4. Структура персонала организаций социального обслуживания (социальной защиты) в субъекте Российской Федерации в 2021-2025 годах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3"/>
        <w:contextualSpacing/>
        <w:jc w:val="center"/>
        <w:spacing w:before="0" w:beforeAutospacing="0" w:after="0" w:afterAutospacing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Style w:val="1021"/>
        <w:tblW w:w="9916" w:type="dxa"/>
        <w:tblLayout w:type="fixed"/>
        <w:tblLook w:val="04A0" w:firstRow="1" w:lastRow="0" w:firstColumn="1" w:lastColumn="0" w:noHBand="0" w:noVBand="1"/>
      </w:tblPr>
      <w:tblGrid>
        <w:gridCol w:w="1134"/>
        <w:gridCol w:w="2523"/>
        <w:gridCol w:w="1162"/>
        <w:gridCol w:w="1117"/>
        <w:gridCol w:w="1320"/>
        <w:gridCol w:w="1350"/>
        <w:gridCol w:w="1310"/>
      </w:tblGrid>
      <w:tr>
        <w:tblPrEx/>
        <w:trPr/>
        <w:tc>
          <w:tcPr>
            <w:tcW w:w="1134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№ п/п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Категория персонала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gridSpan w:val="5"/>
            <w:tcW w:w="625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Период (год)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br/>
              <w:t xml:space="preserve">(указывается среднесписочная численность за год)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vMerge w:val="continue"/>
            <w:textDirection w:val="lrTb"/>
            <w:noWrap w:val="false"/>
          </w:tcPr>
          <w:p>
            <w:pPr>
              <w:ind w:firstLine="0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</w:r>
            <w:r>
              <w:rPr>
                <w:rFonts w:eastAsia="Times New Roman"/>
                <w:sz w:val="24"/>
              </w:rPr>
            </w:r>
            <w:r>
              <w:rPr>
                <w:rFonts w:eastAsia="Times New Roman"/>
                <w:sz w:val="24"/>
              </w:rPr>
            </w:r>
          </w:p>
        </w:tc>
        <w:tc>
          <w:tcPr>
            <w:tcW w:w="2523" w:type="dxa"/>
            <w:vMerge w:val="continue"/>
            <w:textDirection w:val="lrTb"/>
            <w:noWrap w:val="false"/>
          </w:tcPr>
          <w:p>
            <w:pPr>
              <w:ind w:firstLine="0"/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</w:r>
            <w:r>
              <w:rPr>
                <w:rFonts w:eastAsia="Times New Roman"/>
                <w:sz w:val="24"/>
              </w:rPr>
            </w:r>
            <w:r>
              <w:rPr>
                <w:rFonts w:eastAsia="Times New Roman"/>
                <w:sz w:val="24"/>
              </w:rPr>
            </w:r>
          </w:p>
        </w:tc>
        <w:tc>
          <w:tcPr>
            <w:tcW w:w="11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2021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17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2022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2023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2024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2025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Всего работников (все организации, входящие в региональную дорожную карту),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3779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3779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3809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4064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4043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1.1.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 - численность работников организаций в сфере социального обслуживания,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3075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3074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3098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3364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3347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1.1.1.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1.1. - основной персонал,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2032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2029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2057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2288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2284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1.1.1.1.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1.1.1. - работники в сфере социального обслуживания (непосредственно предоставляющие социальные услуги получателям социальных услуг),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907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881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901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1051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1059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1.1.1.2.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1.1.1. -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педагогические работники,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464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458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453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494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492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1.1.1.3.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1.1.1. -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медицинские работники,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519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557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557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594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590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1.1.1.4.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1.1.1. -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иные работники основного персонала, не учтенные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br/>
              <w:t xml:space="preserve">в п. 1.1.1.1.-1.1.1.3.,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142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133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146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149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143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1.1.2.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1.1. - административно-управленческий персонал,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200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196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204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216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207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1.1.3.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1.1. - вспомогательный персонал,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843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shd w:val="clear" w:color="ffffff" w:fill="ffffff"/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850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836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860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856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1.2.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 - численность работников иных подведомственных организаций, входящих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в региональную дорожную карту,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704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705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711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700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696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1.2.1.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1.2. - основной персонал,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509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509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510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498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492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1.2.2.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1.2. - административно-управленческий персонал,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98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99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102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103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105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1.2.3.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52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</w:rPr>
              <w:t xml:space="preserve">Из строки 1.2. - вспомогательный персонал, чел.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16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97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1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98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2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99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99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99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</w:tbl>
    <w:p>
      <w:pPr>
        <w:contextualSpacing/>
        <w:ind w:firstLine="0"/>
        <w:jc w:val="both"/>
        <w:spacing w:after="24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/>
        <w:ind w:firstLine="708"/>
        <w:jc w:val="both"/>
        <w:spacing w:after="240" w:line="240" w:lineRule="auto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Оценка соответствия структуры персонала прогнозируемой потребности показывает, что при сохранении текущих подходов к организации труда дефицит основного персонала будет нарастать, особенно в надомном обслуживании и системе долговременного ухода.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</w:p>
    <w:p>
      <w:pPr>
        <w:contextualSpacing/>
        <w:ind w:firstLine="708"/>
        <w:jc w:val="both"/>
        <w:spacing w:after="24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center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2.4. Анализ действующих региональных мероприятий, направленных на повышение производительности труда в сфере социальной защиты и социального обслуживания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shd w:val="clear" w:color="auto" w:fill="auto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Томской области реализуется комплекс организационных, управленческих и технологических мероприятий, направленных на повышение производительности труда в сфере социального обслуживания и социальной защиты населения.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shd w:val="clear" w:color="auto" w:fill="auto"/>
        <w:tabs>
          <w:tab w:val="left" w:pos="105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2025 году Департамент по вопросам семьи и детей Томской области реализовал комплекс структурных преобразований, направленных на повышение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эффективности использования ресурсов и качества социальной помощи детям: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ерепрофилирование 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бластного государственного казенного учреждения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«Центр социальной помощи семье и детям Асиновского района» в 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бластное государственное казенное учреждение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«Семейный многофункциональный центр помощи семье и детям Асиновского района «СЛАД»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, а также реорганизация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областного государственного казенного учреждения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«Центр социальной помощи семье и детям Колпашевского района» с созданием на его базе отделения «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Семейный многофункциональный центр»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 Ука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занные меры нацелены на расширение охвата целевых групп, внедрение проактивного формата оказания услуг и усиление профилактики социального сиротства.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shd w:val="clear" w:color="auto" w:fill="auto"/>
        <w:tabs>
          <w:tab w:val="left" w:pos="1055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азработаны и доведены до организаций социального обслуживания, подведомственных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Департаменту социальной защиты населения Томской области, методические рекомендации в разрезе форм обслуживания с унифицированными формами документов, что позволило сократить вариативность оформления и снизить временные затраты на подготовку документации.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 2024 года п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риказом Департамента социальной защиты населения Томской области от 24.12.2024 № 45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«О внесении изменений в приказ Департамента социальной защиты населения Томской области от 17.11.2022 № 39»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утверждена форма 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нкеты-опросника для определения индивидуальной потребности заявителя в социальном обслуживании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в целях оптимизации процесса предоставления государственной услуги по признанию гражданина нуждающимся в социальном обслуживании. Это решение направлено на ста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ндартизацию процедуры оценки нуждаемости и сокращение времени ее проведения.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shd w:val="clear" w:color="auto" w:fill="auto"/>
        <w:tabs>
          <w:tab w:val="left" w:pos="1055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 году осуществлено приобретение программного комплекса «Катарсис» (Многофункциональная региональная информационная система Томской области: Соцзащита), который обеспечивает автоматизацию учета получателей услуг и мониторинга предоставления мер социальной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поддержки.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дним из направлений повышения производительности труда является развитие системы долговременного ухода и стационарозамещающих технологий, что позволяет оптимизировать использование кадровых ресурсов и повышать охват граждан социальными услугами без пропорц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ионального увеличения численности персонала.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2025 году услуги в рамках стационарозамещающих технологий социального обслуживания получили 1 152 гражданина. В том числе отделением долговременного ухода на дому обслужено 205 граждан, которым оказано 318 581 социальная услуга; в приемных семья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х для пожилых граждан и инвалидов проживали 53 человека; услугами сиделки воспользовался 181 гражданин; в Школе ухода прошли обучение 712 человек (проведено 187 занятий)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Социальными технологиями охвачено 5 508 граждан. Семейными бригадами социальных работников обслужен 351 человек (оказано 292 117 услуг), мобильными бригадами – 384 человека (48 179 услуг), межведомственными мобильными бригадами – 1 853 человека (3 703 услу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ги). Социальные комнаты посетили 2 920 граждан.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На базе Регионального центра компетенций Томской области ежегодно проводятся программы обучения руководителей подведомственных организаций технологиям бережливого производства.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месте с тем сохраняется необходимость дальнейшего развития механизмов цифровизации, стандартизации процессов, тиражирования лучших практик и совершенствования кадрового обеспечения организаций социального обслуживания. </w:t>
        <w:tab/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bookmarkStart w:id="0" w:name="_GoBack"/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bookmarkEnd w:id="0"/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2.5. Кадровая потребность, складывающаяся в организациях, входящих в региональную дорожную карту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  <w:highlight w:val="cyan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 состоянию на 1 января 2026 года в целом по государственным организациям социального обслуживания совершеннолетних граждан Томской области укомплектованность кадрами составила 97,4 процента. Количество открытых вакансий на указанную дату зафиксировано на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уровне 2,6 процента от штатной численности, из них вакантны более одного года 0,5 процента. Несмотря на относительно высокое значение общего показателя укомплектованности, сохраняется неравномерность кадрового обеспечения по должно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стям. Наиболее острая нехватка кадров отмечается в стационарных организациях социального обслуживания по медицинскому персоналу, психологам, логопедам и инструкторам лечебной физкультуры.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Д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испро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порция в системе оплаты труда и стимулирования связана с тем, что работники, получающие заработную плату по Указу Президента РФ от 07.05.2012      № 597 «О мероприятиях по реализации государственной социальной политики» (далее – Указ № 597), получают зараб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отную плату больше не только тех сотрудников, которые не попали под действие Указа № 597, но и заработной платы руководителя учреждения. Кроме того, большая часть работников учреждений получают заработную плату в размере МРОТ.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Доля сотрудников в возрасте до 30 лет составляет порядка 6,5 % от общего количества работников учреждений, доля сотрудников пенсионного возраста – порядка 24 % от общего количества работников учреждений.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виду значительной удаленности муниципальных образований, в которых расположены учреждения, от регионального центра уровень квалификации и компетенций сотрудников в таких учреждениях может быть ниже. Вместе с тем сотрудники учреждений ежегодно в количестве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30 % от штатной численности проходят повышение квалификации по планам, утвержденным руководителями учреждений.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Необходимо отметить, что доля работников, имеющих высшее образование, составляет 35 % от количества всех работников учреждений. Доля работников, имеющих среднее профессиональное образование, составляет 51 % от количества всех работников учреждений.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ысокий уровень текучести кадров в первую очередь связан с уровнем заработной платы ниже рыночного уровня и высокой нагрузкой на работника. Кроме того, к причинам текучести кадров можно отнести отсутствие перспективы карьерного роста. Текучесть кадров в 202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5 году составила 23 % (выбыло 579 человек, принято 604 человека).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В связи с поэтапным увеличением охвата граждан услугами системы долговременного ухода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за гражданами пожилого возраста и инвалидами (далее – СДУ) </w:t>
      </w:r>
      <w:r/>
      <w:r>
        <w:rPr>
          <w:rFonts w:ascii="PT Astra Serif" w:hAnsi="PT Astra Serif" w:cs="PT Astra Serif"/>
          <w:sz w:val="26"/>
          <w:szCs w:val="26"/>
          <w:highlight w:val="none"/>
        </w:rPr>
        <w:t xml:space="preserve">(прирост на 5,0% к 2029 году относительно базового значения) и с учётом стабильного роста численности граждан пожилого возраста и инвалидов, а также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повышения востребованности социальных услуг в надомной форме, нагрузка на традиционные формы надомного обслуживания будет постепенно перераспределяться. СДУ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принимает на себя часть функционала по организации и предоставлению услуг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по уходу, что влечет за собой умеренное смещение кадровой потребности в сегмент специалистов СДУ – помощников по уходу. Кроме того, развитие СДУ создает условия для частичного снятия нагрузки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со стационарных организаций социального обслуживания, поскольку полноценное сопровождение и уход на дому позволяют гражданам максимально долго оставаться в привычной домашней среде, сокращая необходимость в стационарном обслуживании. Совокупное перераспреде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ление нагрузки – с надомного обслуживания и частично со стационарной формы – определяет масштаб и структуру прогнозируемого дополнительного штатного ресурса, отраженные в таблице № 5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учетом прогнозируемой динамики численности получателей социальных услуг, действующих нормативов нагрузки и запланированных мероприятий по повышению производительности труда рассчитана дополнительная кадровая потребность на 2026–2030 годы. Расчет выполнен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 основе данных о контингенте обслуживаемых и фактической штатной численности по состоянию на 1 января 2026 года.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Итоговая совокупная потребность определена как накопленный дефицит к концу прогнозного периода.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Дополнительная кадровая потребность сконцентрирована по должностям, обеспечивающим функционирование СДУ. По должности «помощник по уходу» исходная численность на начало 2026 года составляет 182 штатные единицы. Совокупная дополните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льная потребность в помощниках по уходу на период до 2030 года составит 15 штатных единиц. Указанная потребность будет покрыта преимущественно за счёт внутреннего перераспределения кадровых ресурсов, без необходимости масштабного привлечения работников с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внешнего рынка труда.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     </w:t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Таблица 5. Кадровая потребность государственных (муниципальных) организаций социального обслуживания (социальной защиты) в субъекте Российской Федерации в 2026-2030 годах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8"/>
        <w:jc w:val="both"/>
        <w:spacing w:after="0" w:line="276" w:lineRule="auto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tbl>
      <w:tblPr>
        <w:tblStyle w:val="1021"/>
        <w:tblW w:w="0" w:type="auto"/>
        <w:tblLook w:val="04A0" w:firstRow="1" w:lastRow="0" w:firstColumn="1" w:lastColumn="0" w:noHBand="0" w:noVBand="1"/>
      </w:tblPr>
      <w:tblGrid>
        <w:gridCol w:w="945"/>
        <w:gridCol w:w="2708"/>
        <w:gridCol w:w="945"/>
        <w:gridCol w:w="945"/>
        <w:gridCol w:w="945"/>
        <w:gridCol w:w="945"/>
        <w:gridCol w:w="945"/>
        <w:gridCol w:w="945"/>
        <w:gridCol w:w="1163"/>
      </w:tblGrid>
      <w:tr>
        <w:tblPrEx/>
        <w:trPr>
          <w:trHeight w:val="28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center"/>
              <w:spacing w:before="0" w:beforeAutospacing="0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center"/>
              <w:spacing w:before="0" w:beforeAutospacing="0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Категория и должности основного персонала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center"/>
              <w:spacing w:before="0" w:beforeAutospacing="0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Ед. изм.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72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Период (год)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Совокупная кадровая потребность на период до 2030 г.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3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2028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2029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2030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</w:tr>
      <w:tr>
        <w:tblPrEx/>
        <w:trPr>
          <w:trHeight w:val="81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Организации, предоставляющие социальные услуги, входящие региональную дорожную карту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23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из строки 1. - основной персонал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19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111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1.1.1.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из строки 1.1.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работники в сфере социального обслуживания (непосредственно предоставляющие социальные услуги получателям социальных услуг)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86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1.1.1.1.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из строки 1.1.1.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highlight w:val="white"/>
                <w:u w:val="none"/>
                <w:vertAlign w:val="baseline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помощник по уходу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7</w:t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21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5</w:t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15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</w:tr>
      <w:tr>
        <w:tblPrEx/>
        <w:trPr>
          <w:trHeight w:val="391"/>
        </w:trPr>
        <w:tc>
          <w:tcPr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1.1.1.2.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из строки 1.1.1.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highlight w:val="white"/>
                <w:u w:val="none"/>
                <w:vertAlign w:val="baseline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организатор ухода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</w:tr>
      <w:tr>
        <w:tblPrEx/>
        <w:trPr>
          <w:trHeight w:val="334"/>
        </w:trPr>
        <w:tc>
          <w:tcPr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1.1.1.3.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из строки 1.1.1.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highlight w:val="white"/>
                <w:u w:val="none"/>
                <w:vertAlign w:val="baseline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специалист по социальной работе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none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highlight w:val="white"/>
                <w:u w:val="none"/>
                <w:vertAlign w:val="baselin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</w:tr>
      <w:tr>
        <w:tblPrEx/>
        <w:trPr>
          <w:trHeight w:val="332"/>
        </w:trPr>
        <w:tc>
          <w:tcPr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32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1.1.2.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из строки 1.1. - педагогические работники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12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7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1.1.3.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из строки 1. - медицинские работники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9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1.1.4.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из строки 1.1.3.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[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наименование должности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]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9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5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из строки 1. - административно-управленческий персонал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5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49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из строки 1. - вспомогательный персонал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49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974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Организации, не предоставляющие социальные услуги (иные организации в сфере социальной защиты), входящие в региональную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дорожную карту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115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из строки 2. - основной персонал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2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51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из строки 2. - административно-управленческий персонал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61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9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из строки 2. - вспомогательный персонал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чел.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43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08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ind w:left="113"/>
              <w:jc w:val="left"/>
              <w:spacing w:before="0" w:beforeAutospacing="0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ед.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6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contextualSpacing w:val="0"/>
        <w:ind w:firstLine="708"/>
        <w:jc w:val="both"/>
        <w:spacing w:after="0" w:line="276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  <w14:ligatures w14:val="standardContextual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целях минимизации кадровых рисков и покрытия прогнозируемой потребности без необоснованного наращивания штата региональной дорожной картой предусматривается реализация мероприятий по централизации обеспечивающих функций, автоматизации отчетности и админис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ративных процедур, внедрению инструментов бережливого управления, развитию системы непрерывного профессионального обучения и повышения квалификации, а также тиражированию лучших практик производительности труда. Данные меры 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озволят перераспределить внутренние кадровые ресурсы, снизить непроизводительную нагрузку на основной персонал и обеспечить достижение целевых показателей производительности труда при минимально необходимом привлечении дополнительных работников.</w:t>
      </w:r>
      <w:r>
        <w:rPr>
          <w:rFonts w:ascii="PT Astra Serif" w:hAnsi="PT Astra Serif" w:cs="PT Astra Serif"/>
          <w:sz w:val="26"/>
          <w:szCs w:val="26"/>
          <w14:ligatures w14:val="standardContextual"/>
        </w:rPr>
      </w:r>
      <w:r>
        <w:rPr>
          <w:rFonts w:ascii="PT Astra Serif" w:hAnsi="PT Astra Serif" w:cs="PT Astra Serif"/>
          <w:sz w:val="26"/>
          <w:szCs w:val="26"/>
          <w14:ligatures w14:val="standardContextual"/>
        </w:rPr>
      </w:r>
    </w:p>
    <w:p>
      <w:pPr>
        <w:ind w:firstLine="0"/>
        <w:jc w:val="left"/>
        <w:rPr>
          <w:rFonts w:ascii="PT Astra Serif" w:hAnsi="PT Astra Serif" w:cs="PT Astra Serif"/>
          <w:sz w:val="26"/>
          <w:szCs w:val="26"/>
          <w:highlight w:val="cyan"/>
        </w:rPr>
      </w:pPr>
      <w:r>
        <w:rPr>
          <w:rFonts w:ascii="PT Astra Serif" w:hAnsi="PT Astra Serif" w:eastAsia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  <w:r>
        <w:rPr>
          <w:rFonts w:ascii="PT Astra Serif" w:hAnsi="PT Astra Serif" w:cs="PT Astra Serif"/>
          <w:sz w:val="26"/>
          <w:szCs w:val="26"/>
          <w:highlight w:val="cyan"/>
        </w:rPr>
      </w:r>
    </w:p>
    <w:p>
      <w:pPr>
        <w:pStyle w:val="1026"/>
        <w:ind w:left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3. 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Выводы по итогам проведения оценки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состояния сферы социального обслуживания (социальной защиты) Томской области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истема соц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иального обслуживания населения Томской области функционирует в условиях двух взаимосвязанных вызовов: устойчивого роста численности граждан пожилого возраста и инвалидов, с одной стороны, и нарастающего кадрового дефицита — с другой. Экстенсивное увеличен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е штатной численности основного персонала ограничено возможностями регионального рынка труда, низкой привлекательностью должностей и высокой текучестью кадров. В этих условиях повышение производительности труда является единственным инструментом сохранения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доступности и качества социальных услуг.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Ниже представлен свод выявленных дефектов, сгруппированных по трем проблемным зонам — организационно-управленческой, инфраструктурной и кадровой: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Таблица 6. Свод «проблемных зон»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истемы социального обслуживания населения (социальной защиты)  Томской области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tbl>
      <w:tblPr>
        <w:tblStyle w:val="1021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2976"/>
        <w:gridCol w:w="3261"/>
        <w:gridCol w:w="2693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1026"/>
              <w:ind w:left="0"/>
              <w:jc w:val="center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№ п/п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ind w:left="0"/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color w:val="0f1115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Проблемная зона </w:t>
            </w:r>
            <w:r>
              <w:rPr>
                <w:rFonts w:ascii="PT Astra Serif" w:hAnsi="PT Astra Serif" w:cs="PT Astra Serif"/>
                <w:b w:val="0"/>
                <w:bCs w:val="0"/>
                <w:color w:val="0f1115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f1115"/>
                <w:sz w:val="26"/>
                <w:szCs w:val="26"/>
              </w:rPr>
            </w:r>
          </w:p>
          <w:p>
            <w:pPr>
              <w:ind w:left="0"/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(фактор непроизводительности)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ind w:left="0"/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color w:val="0f1115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Количественное обоснование </w:t>
            </w:r>
            <w:r>
              <w:rPr>
                <w:rFonts w:ascii="PT Astra Serif" w:hAnsi="PT Astra Serif" w:cs="PT Astra Serif"/>
                <w:b w:val="0"/>
                <w:bCs w:val="0"/>
                <w:color w:val="0f1115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f1115"/>
                <w:sz w:val="26"/>
                <w:szCs w:val="26"/>
              </w:rPr>
            </w:r>
          </w:p>
          <w:p>
            <w:pPr>
              <w:ind w:left="0"/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(текущее состояние)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0"/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color w:val="0f1115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Направление воздействия </w:t>
            </w:r>
            <w:r>
              <w:rPr>
                <w:rFonts w:ascii="PT Astra Serif" w:hAnsi="PT Astra Serif" w:cs="PT Astra Serif"/>
                <w:b w:val="0"/>
                <w:bCs w:val="0"/>
                <w:color w:val="0f1115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f1115"/>
                <w:sz w:val="26"/>
                <w:szCs w:val="26"/>
              </w:rPr>
            </w:r>
          </w:p>
          <w:p>
            <w:pPr>
              <w:ind w:left="0"/>
              <w:jc w:val="center"/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6"/>
                <w:szCs w:val="26"/>
              </w:rPr>
              <w:t xml:space="preserve">(целевое состояние)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4"/>
            <w:tcW w:w="9639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37"/>
              </w:numPr>
              <w:ind w:left="0"/>
              <w:jc w:val="center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f1115"/>
                <w:sz w:val="26"/>
                <w:szCs w:val="26"/>
              </w:rPr>
              <w:t xml:space="preserve">Организационно-управленческие проблемные зоны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1.1.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Несоответствие организационно-штатной структуры организаций протекающим в них процессам по основной деятельности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ind w:left="0"/>
              <w:jc w:val="both"/>
              <w:spacing w:before="0" w:after="0" w:line="90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0 % центров социальной поддержки населения в районах Томской области одновременно выполняют функции по  признанию граждан нуждающимся в социальном обслуживании, предоставления социальных услуг и назначения мер социальной поддержки (социальных выплат), что </w:t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создает </w:t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конфликт интересов и избыточную нагрузку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0" w:right="113"/>
              <w:jc w:val="both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Разделение функций путем передачи полномочий по </w:t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оценке нуждаемости и предоставлению </w:t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мер социальной поддержки  (социальных выплат)</w:t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 в специализированный </w:t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Центр (Управление) социальной поддержки населения Томской области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1.2.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Дублирование однотипных вспомогательных функций в каждой организации (отсутствие централизации)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ind w:left="0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100 % организаций самостоятельно ведут бухгалтерский учет, кадровое администрирование и закупки. Доля АУП – 5 %, вспомогательного персонала – боле 30 %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ind w:left="113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Централизация не менее 80 % обеспечивающих функций (бухгалтерия, кадры, закупки); снижение доли вспомогательного персонала до ≤25 %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4"/>
            <w:tcW w:w="9639" w:type="dxa"/>
            <w:textDirection w:val="lrTb"/>
            <w:noWrap w:val="false"/>
          </w:tcPr>
          <w:p>
            <w:pPr>
              <w:ind w:left="113"/>
              <w:jc w:val="center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f1115"/>
                <w:sz w:val="26"/>
                <w:szCs w:val="26"/>
              </w:rPr>
              <w:t xml:space="preserve">2. Инфраструктурные проблемные зоны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2.1.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Недостаточная степень автоматизации и цифровизации основных процессов вследствие ограниченного функционала IT-инфраструктуры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ind w:left="0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~25–30 % рабочего времени соцработников тратится на ручное заполнение документов по социальному обслуживанию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Сокращение доли ручных операций до ≤20 %; перевод 90 % документооборота в электронный вид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gridSpan w:val="4"/>
            <w:tcW w:w="9639" w:type="dxa"/>
            <w:textDirection w:val="lrTb"/>
            <w:noWrap w:val="false"/>
          </w:tcPr>
          <w:p>
            <w:pPr>
              <w:ind w:left="113"/>
              <w:jc w:val="center"/>
              <w:spacing w:before="0" w:after="0" w:line="57" w:lineRule="atLeast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color w:val="0f1115"/>
                <w:sz w:val="26"/>
                <w:szCs w:val="26"/>
              </w:rPr>
              <w:t xml:space="preserve">3. Кадровые проблемные зоны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3.1.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Неоптимальная структура персонала (численность и соотношение основного, административно-управленческого и вспомогательного персонала)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Доля работников, непосредственно предоставляющих услуги, – менее 30 %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За 2021–2025 гг. нагрузка на одного основного работника выросла на 12–15 % при рост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е его численности на 137 чел.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Повышение доли непосредственно предоставляющих услуги до ≥50 %; стабилизация нагрузки на одного работника без дальнейшего некомпенсированного роста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3.2.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Высокий уровень текучести кадров (основные причины: низкая зарплата, высокая нагрузка, отсутствие карьерного роста)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~55 % работников получают оклад на уровне МРОТ. Разрыв в оплате между «указными» категориями и остальными достигает 1,8–2,5 раза. Доля стимулирующих выплат, привязанных к показателям производительности, – менее 10 %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f1115"/>
                <w:sz w:val="26"/>
                <w:szCs w:val="26"/>
              </w:rPr>
              <w:t xml:space="preserve">Снижение текучести кадров до ≤15 %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3.3.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Критический разрыв между прогнозируемой потребностью и возможностями внутреннего перераспределения кадровых ресурсов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Дополнительная потребность в помощниках по уходу до 2030 г. – 15 шт. ед.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1026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15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ставо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к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по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мощников по уходу заместить за счет высвобождения АУП и вспомогательного персонала. Обеспечить 100 % укомплектованность организаторов ухода.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</w:tbl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numPr>
          <w:ilvl w:val="0"/>
          <w:numId w:val="17"/>
        </w:numPr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Основные и дополнительные целевые показатели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региональной дорожной карты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(в разбивке по годам)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истема целевых показателей региональной дорожной карты сформирована на основе показателей федерального проекта «Производительность труда», входящего в состав национального проекта «Эффективная и конкурентная экономика», а также с учетом выявленных по резул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ьтатам анализа текущего состояния «проблемных зон» в сфере социального обслуживания Томской области.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оказатели 1.1 и 1.2 настоящего раздела являются показателями федерального проекта, их целевые значения по годам устанавливаются в соответствии с декомпозицией, доведенной до субъекта Российской Федерации и отраженной в государственной интегрированной инфор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мационной системе «Электронный бюджет». Показатели 1.3 и 1.4 характеризуют оптимизацию структуры персонала государственных организаций социального обслуживания.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дополнение к основным показателям  определены  дополнительные целевые показатели, характеризующих эффективность мероприятий по повышению производительности труда в сфере социального обслуживания. Их выбор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обеспечивает содержательную взаимосвязь с целями и мероприятиями дорожной карты, позволяя оценить влияние централизации функций, цифровизации процессов и стабильности кадрового состава.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Целевые значения показателей региональной дорожной карты до 2030 года (в разбивке по годам) представлены в таблице 7.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Таблица 7. Целевые значения показателей региональной дорожной карты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tbl>
      <w:tblPr>
        <w:tblStyle w:val="1021"/>
        <w:tblW w:w="0" w:type="auto"/>
        <w:tblLayout w:type="fixed"/>
        <w:tblLook w:val="04A0" w:firstRow="1" w:lastRow="0" w:firstColumn="1" w:lastColumn="0" w:noHBand="0" w:noVBand="1"/>
      </w:tblPr>
      <w:tblGrid>
        <w:gridCol w:w="4535"/>
        <w:gridCol w:w="1134"/>
        <w:gridCol w:w="992"/>
        <w:gridCol w:w="992"/>
        <w:gridCol w:w="992"/>
        <w:gridCol w:w="992"/>
      </w:tblGrid>
      <w:tr>
        <w:tblPrEx/>
        <w:trPr/>
        <w:tc>
          <w:tcPr>
            <w:tcW w:w="4535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Наименование показателя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br/>
              <w:t xml:space="preserve">и единица измерения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gridSpan w:val="5"/>
            <w:tcW w:w="510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Целевое значение показателя по годам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br/>
              <w:t xml:space="preserve">(по состоянию на конец отчетного периода)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vMerge w:val="continue"/>
            <w:textDirection w:val="lrTb"/>
            <w:noWrap w:val="false"/>
          </w:tcPr>
          <w:p>
            <w:pPr>
              <w:contextualSpacing/>
              <w:ind w:firstLine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2026 г.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2027 г.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2028 г.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2029 г.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2030 г.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6"/>
            <w:tcW w:w="9638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1. Основные показатели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1.1. Увеличение количества социальных услуг, предоставленных организацией социального обслуживания, в расчете на одного работника организации социального обслуживания, ед./чел.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color w:val="000000"/>
                <w:spacing w:val="-2"/>
                <w:sz w:val="26"/>
                <w:szCs w:val="26"/>
                <w:lang w:val="en-US"/>
              </w:rPr>
              <w:t xml:space="preserve">2 733,0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color w:val="000000"/>
                <w:spacing w:val="-2"/>
                <w:sz w:val="26"/>
                <w:szCs w:val="26"/>
                <w:lang w:val="en-US"/>
              </w:rPr>
              <w:t xml:space="preserve">2 733,0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color w:val="000000"/>
                <w:spacing w:val="-2"/>
                <w:sz w:val="26"/>
                <w:szCs w:val="26"/>
                <w:lang w:val="en-US"/>
              </w:rPr>
              <w:t xml:space="preserve">2 896,0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color w:val="000000"/>
                <w:spacing w:val="-2"/>
                <w:sz w:val="26"/>
                <w:szCs w:val="26"/>
                <w:lang w:val="en-US"/>
              </w:rPr>
              <w:t xml:space="preserve">3 069,0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color w:val="000000"/>
                <w:spacing w:val="-2"/>
                <w:sz w:val="26"/>
                <w:szCs w:val="26"/>
                <w:lang w:val="en-US"/>
              </w:rPr>
              <w:t xml:space="preserve">3 270,0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1.2. Доля организаций социального обслуживания, вовлеченных в реализацию проектов, направленных на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повышение производительности труда, %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32,3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64,5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  <w:lang w:eastAsia="ru-RU"/>
              </w:rPr>
              <w:t xml:space="preserve">,0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4535" w:type="dxa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1.3. Доля административно-управленческого персонала в общей численности персонала государственных организаций социального обслуживания, %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5,0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4,8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4,5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4,2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4,0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1.4. Доля вспомогательного персонала в общей численности персонала государственных организаций социального обслуживания, %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32,0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30,0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28,0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26,0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25,0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6"/>
            <w:tcW w:w="9638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 Дополнительные показатели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2.1.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Доля государственных организац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ий социального обслуживания, в которых централизованы бухгалтерские функции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, %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30,0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50,0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2.2.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Доля государственных организаций социального обслуживания, в которых централизованы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кадровые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функции, %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30,0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50,0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2.3.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Доля государственных организаций социального обслуживания, в которых централизованы закупочные функции, %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30,0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50,0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2.4.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Доля организаций социального обслуживания, внед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ривших цифровые решения для автоматизации основных процессов, %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25,0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2.5. Д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оля государственных организаций социального обслуживания, передавших на внешнее исполнение (аутсорсинг) не менее одной вспомогательной функции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, %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2.6.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Уровень текучести кадров персонала, %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20,0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19,0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18,0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16,0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15,0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4535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2.7.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Укомплектованность должностей специалистов в рамках СДУ, %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100,0 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tabs>
                <w:tab w:val="center" w:pos="388" w:leader="none"/>
              </w:tabs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100,0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ab/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tabs>
                <w:tab w:val="center" w:pos="388" w:leader="none"/>
              </w:tabs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100,0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ab/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tabs>
                <w:tab w:val="center" w:pos="388" w:leader="none"/>
              </w:tabs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100,0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ab/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tabs>
                <w:tab w:val="center" w:pos="388" w:leader="none"/>
              </w:tabs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100,0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ab/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4535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2.8. Доля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руководителей организаций социального обслуживания, прошедших обучение инструментам повышения производительности труда и технологиям «бережливого производства»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0,0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tabs>
                <w:tab w:val="center" w:pos="388" w:leader="none"/>
              </w:tabs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15,0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tabs>
                <w:tab w:val="center" w:pos="388" w:leader="none"/>
              </w:tabs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25,0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tabs>
                <w:tab w:val="center" w:pos="388" w:leader="none"/>
              </w:tabs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50,0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tabs>
                <w:tab w:val="center" w:pos="388" w:leader="none"/>
              </w:tabs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lang w:eastAsia="ru-RU"/>
              </w:rPr>
              <w:t xml:space="preserve">100,0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</w:tbl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Целевые значения дополнительных показателей подлежат ежегодной корректировке по результатам мониторинга реализации дорожной карты и с учетом фактического хода институциональных преобразований.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numPr>
          <w:ilvl w:val="0"/>
          <w:numId w:val="17"/>
        </w:numPr>
        <w:ind w:left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Механизмы взаимодействия при реализации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региональной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дорожной карты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Координацию реализации дорожной карты осуществляет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заместитель Председателя Правительства Томской области (по социальной политике)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выступающий куратором дорожной карты.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Ответственными исполнителями являются: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- Департамент социальной защиты населения Томской области — в части мероприятий, относящихся к компетенции департамента;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- Департамент по вопросам семьи и детей Томской области — в части мероприятий, относящихся к компетенции департамента.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ониторинг реализации региональной дорожной карты осуществляется не реже одного раза в квартал. Ответственными за организацию мониторинга являются Департамент социальной защиты населения Томской области и Департамент по вопросам семьи и детей Томской област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По результатам каждого квартала проводится оценка: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степени достижения целевых значений показателей дорожной карты;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достаточности и эффективности реализуемых мероприятий;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соблюдения сроков выполнения мероприятий;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tabs>
          <w:tab w:val="left" w:pos="85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объемов фактически произведенных расходов в сопоставлении с запланированными;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влияния реализованных мероприятий на производительность труда в организациях социального обслуживания.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Источниками данных для мониторинга являются: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отчеты подведомственных организаций;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данные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Многофункциональной региональной информационной системы Томской области: Соцзащита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данные государственной информационной системы «Единая централизованная цифровая платформа в социальной сфере» (по мере подключения);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- результаты выборочных проверок и контрольных мероприятий.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При выявлении отклонений от целевых значений показателей или срывов сроков мероприятий ответственными исполнителями в месячный срок разрабатываются корректирующие меры.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 w:firstLine="708"/>
        <w:jc w:val="both"/>
        <w:rPr>
          <w:rFonts w:ascii="PT Astra Serif" w:hAnsi="PT Astra Serif" w:cs="PT Astra Serif"/>
          <w:sz w:val="26"/>
          <w:szCs w:val="26"/>
        </w:rPr>
        <w:sectPr>
          <w:headerReference w:type="default" r:id="rId11"/>
          <w:footerReference w:type="default" r:id="rId13"/>
          <w:footnotePr/>
          <w:endnotePr/>
          <w:type w:val="nextPage"/>
          <w:pgSz w:w="11906" w:h="16838" w:orient="portrait"/>
          <w:pgMar w:top="567" w:right="1134" w:bottom="1134" w:left="1134" w:header="567" w:footer="442" w:gutter="0"/>
          <w:pgNumType w:start="2"/>
          <w:cols w:num="1" w:sep="0" w:space="708" w:equalWidth="1"/>
          <w:docGrid w:linePitch="360"/>
        </w:sect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езультаты мониторинга ежеквартально направляются куратору дорожной карты — заместителю Губернатора Томской области по социальной политике. Ежегодно результаты мониторинга рассматриваются на заседании региональной трехсторонней комиссии по регулированию соц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иально-трудовых отношений.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Style w:val="1021"/>
        <w:tblW w:w="0" w:type="auto"/>
        <w:tblLayout w:type="fixed"/>
        <w:tblLook w:val="04A0" w:firstRow="1" w:lastRow="0" w:firstColumn="1" w:lastColumn="0" w:noHBand="0" w:noVBand="1"/>
      </w:tblPr>
      <w:tblGrid>
        <w:gridCol w:w="9496"/>
        <w:gridCol w:w="564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96" w:type="dxa"/>
            <w:textDirection w:val="lrTb"/>
            <w:noWrap w:val="false"/>
          </w:tcPr>
          <w:p>
            <w:pPr>
              <w:pStyle w:val="102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41" w:type="dxa"/>
            <w:textDirection w:val="lrTb"/>
            <w:noWrap w:val="false"/>
          </w:tcPr>
          <w:p>
            <w:pPr>
              <w:contextualSpacing/>
              <w:jc w:val="left"/>
              <w:spacing w:line="240" w:lineRule="auto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u w:val="none"/>
                <w:vertAlign w:val="baseline"/>
              </w:rPr>
              <w:t xml:space="preserve">Приложение № 1 к Плану мероприятий («дорожной карте») «Повышение производительности труда в сфере социального обслуживания (социальной защиты) Томской области» на 2026 – 2030 годы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</w:tbl>
    <w:p>
      <w:pPr>
        <w:jc w:val="right"/>
        <w:spacing w:line="276" w:lineRule="auto"/>
        <w:rPr>
          <w:rFonts w:ascii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</w:rPr>
      </w:r>
    </w:p>
    <w:p>
      <w:pPr>
        <w:contextualSpacing/>
        <w:jc w:val="center"/>
        <w:spacing w:line="240" w:lineRule="auto"/>
        <w:rPr>
          <w:rFonts w:ascii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  <w:t xml:space="preserve">Комплекс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  <w:t xml:space="preserve"> мероприятий Плана мероприятий («дорожной карты») </w:t>
      </w:r>
      <w:r>
        <w:rPr>
          <w:rFonts w:ascii="PT Astra Serif" w:hAnsi="PT Astra Serif" w:cs="PT Astra Serif"/>
          <w:b w:val="0"/>
          <w:bCs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</w:rPr>
      </w:r>
    </w:p>
    <w:p>
      <w:pPr>
        <w:contextualSpacing/>
        <w:jc w:val="center"/>
        <w:spacing w:line="240" w:lineRule="auto"/>
        <w:rPr>
          <w:rFonts w:ascii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  <w:t xml:space="preserve">«Повышение производительности труда в сфере социального обслуживания (социальной защиты) Томской области» </w:t>
      </w:r>
      <w:r>
        <w:rPr>
          <w:rFonts w:ascii="PT Astra Serif" w:hAnsi="PT Astra Serif" w:cs="PT Astra Serif"/>
          <w:b w:val="0"/>
          <w:bCs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</w:rPr>
      </w:r>
    </w:p>
    <w:p>
      <w:pPr>
        <w:contextualSpacing/>
        <w:jc w:val="center"/>
        <w:spacing w:line="240" w:lineRule="auto"/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  <w:t xml:space="preserve">на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  <w:t xml:space="preserve"> 2026 – 2030 годы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</w:p>
    <w:p>
      <w:pPr>
        <w:contextualSpacing/>
        <w:jc w:val="center"/>
        <w:spacing w:line="240" w:lineRule="auto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</w:rPr>
      </w:r>
      <w:r>
        <w:rPr>
          <w:rFonts w:ascii="PT Astra Serif" w:hAnsi="PT Astra Serif" w:cs="PT Astra Serif"/>
          <w:b/>
          <w:bCs/>
          <w:sz w:val="26"/>
          <w:szCs w:val="26"/>
        </w:rPr>
      </w:r>
      <w:r>
        <w:rPr>
          <w:rFonts w:ascii="PT Astra Serif" w:hAnsi="PT Astra Serif" w:cs="PT Astra Serif"/>
          <w:b/>
          <w:bCs/>
          <w:sz w:val="26"/>
          <w:szCs w:val="26"/>
        </w:rPr>
      </w:r>
    </w:p>
    <w:tbl>
      <w:tblPr>
        <w:tblW w:w="14915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42"/>
        <w:gridCol w:w="2550"/>
        <w:gridCol w:w="1844"/>
        <w:gridCol w:w="2125"/>
        <w:gridCol w:w="1418"/>
        <w:gridCol w:w="1417"/>
        <w:gridCol w:w="851"/>
        <w:gridCol w:w="851"/>
        <w:gridCol w:w="709"/>
        <w:gridCol w:w="709"/>
        <w:gridCol w:w="850"/>
        <w:gridCol w:w="85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№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п/п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55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Наименование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Ответственные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исполнители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Ожидаемые результаты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Срок начала реализации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Срок окончания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реализации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НПА, регулирующий реализацию мероприятия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Объем финансирования в разбивке по источникам, тыс. руб.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2026</w:t>
            </w:r>
            <w:r>
              <w:rPr>
                <w:rFonts w:ascii="PT Astra Serif" w:hAnsi="PT Astra Serif" w:eastAsia="PT Astra Serif" w:cs="PT Astra Serif"/>
              </w:rPr>
              <w:br/>
              <w:t xml:space="preserve">г.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2027</w:t>
            </w:r>
            <w:r>
              <w:rPr>
                <w:rFonts w:ascii="PT Astra Serif" w:hAnsi="PT Astra Serif" w:eastAsia="PT Astra Serif" w:cs="PT Astra Serif"/>
              </w:rPr>
              <w:br/>
              <w:t xml:space="preserve">г.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2028</w:t>
            </w:r>
            <w:r>
              <w:rPr>
                <w:rFonts w:ascii="PT Astra Serif" w:hAnsi="PT Astra Serif" w:eastAsia="PT Astra Serif" w:cs="PT Astra Serif"/>
              </w:rPr>
              <w:br/>
              <w:t xml:space="preserve">г.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2029 г.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2030</w:t>
            </w:r>
            <w:r>
              <w:rPr>
                <w:rFonts w:ascii="PT Astra Serif" w:hAnsi="PT Astra Serif" w:eastAsia="PT Astra Serif" w:cs="PT Astra Serif"/>
              </w:rPr>
              <w:br/>
              <w:t xml:space="preserve">г.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  <w:t xml:space="preserve">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  <w:t xml:space="preserve">4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  <w:t xml:space="preserve">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  <w:t xml:space="preserve">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  <w:t xml:space="preserve">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  <w:t xml:space="preserve">10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  <w:t xml:space="preserve">11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  <w:t xml:space="preserve">12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40"/>
              </w:numPr>
              <w:ind w:left="0"/>
              <w:jc w:val="center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  <w:t xml:space="preserve">Оптимизация сети организаций социального обслуживания (социальной защиты)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действующие в субъекте Российской Федерации до момента утверждения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Проведение анализа действующей системы социального обслуживания (социальной защиты) Томской области в целях оптимизации сети организаций социального обслуживания (социальной защиты)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области, Д</w:t>
            </w:r>
            <w:r>
              <w:rPr>
                <w:rFonts w:ascii="PT Astra Serif" w:hAnsi="PT Astra Serif" w:eastAsia="PT Astra Serif" w:cs="PT Astra Serif"/>
              </w:rPr>
              <w:t xml:space="preserve">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Определены направления оптимизации сети организаций социального обслуживания; сформированы предложения по укрупнению и перепрофилированию учреждений; разработана модель единой сети организаций </w:t>
            </w:r>
            <w:r>
              <w:rPr>
                <w:rFonts w:ascii="PT Astra Serif" w:hAnsi="PT Astra Serif" w:eastAsia="PT Astra Serif" w:cs="PT Astra Serif"/>
              </w:rPr>
              <w:t xml:space="preserve">социально</w:t>
            </w:r>
            <w:r>
              <w:rPr>
                <w:rFonts w:ascii="PT Astra Serif" w:hAnsi="PT Astra Serif" w:eastAsia="PT Astra Serif" w:cs="PT Astra Serif"/>
              </w:rPr>
              <w:t xml:space="preserve">го обслуживания, обеспечивающая доступность и качество социальных услуг для всех категорий граждан с учетом территориальных особенностей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Мониторинг качества социального обслуживания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области, 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Недопущение ухудшения доступности и качества социальных услуг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Распоряжение ДСЗН ТО от 07.07.2020 № 346 «О проведении мониторинга мнения получателей услуг о качест</w:t>
            </w:r>
            <w:r>
              <w:rPr>
                <w:rFonts w:ascii="PT Astra Serif" w:hAnsi="PT Astra Serif" w:eastAsia="PT Astra Serif" w:cs="PT Astra Serif"/>
              </w:rPr>
              <w:t xml:space="preserve">ве и доступности оказания услуг организациями социального обслуживания Томской области»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введенные с начала действия региональной дорожной</w:t>
            </w:r>
            <w:r>
              <w:rPr>
                <w:rFonts w:ascii="PT Astra Serif" w:hAnsi="PT Astra Serif" w:eastAsia="PT Astra Serif" w:cs="PT Astra Serif"/>
              </w:rPr>
              <w:t xml:space="preserve">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Слияние областного государственного бюджетного учреждения «Дом социального обслуживания «Милосердие» и областного государственного бюджетного учреждения «Итатский дом-интернат для престарелых и инвалидов»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Сокращено количество юридических лиц; устранено дублирование административных и обеспечивающих функций; повышена эффективн</w:t>
            </w:r>
            <w:r>
              <w:rPr>
                <w:rFonts w:ascii="PT Astra Serif" w:hAnsi="PT Astra Serif" w:eastAsia="PT Astra Serif" w:cs="PT Astra Serif"/>
              </w:rPr>
              <w:t xml:space="preserve">ость использования кадровых, финансовых и материально-технических ресурсов; созданы условия для централизации бухгалтерских, кадровых и закупочных функций; сохранен объем и качество предоставляемых социальных услуг для граждан пожилого возраста и инвалидов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02.09.2026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319439</w:t>
            </w:r>
            <w:r>
              <w:rPr>
                <w:rFonts w:ascii="PT Astra Serif" w:hAnsi="PT Astra Serif" w:cs="PT Astra Serif"/>
              </w:rPr>
              <w:t xml:space="preserve">,</w:t>
            </w:r>
            <w:r>
              <w:rPr>
                <w:rFonts w:ascii="PT Astra Serif" w:hAnsi="PT Astra Serif" w:cs="PT Astra Serif"/>
                <w:lang w:val="en-US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319888,3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319888,3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319888,3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319888,3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1.4.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Слияние областного государственного автономного учреждения «Дом-интернат для престарелых и инвалидов «Лесная дача» и областного государственного бюджетного учреждения «Дом-интернат для престарелых и инвалидов Чаинского района»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Сокращено количество юридических лиц; устранено дублирование административных и обеспечивающих функций; повышена эффективность использования кадровых, финансовых и материа</w:t>
            </w:r>
            <w:r>
              <w:rPr>
                <w:rFonts w:ascii="PT Astra Serif" w:hAnsi="PT Astra Serif" w:eastAsia="PT Astra Serif" w:cs="PT Astra Serif"/>
              </w:rPr>
              <w:t xml:space="preserve">льно-технических ресурсов; созданы условия для централизации бухгалтерских, кадровых и закупочных функций; обеспечена доступность стационарного социального обслуживания для граждан на территории Томской области при сохранении качества предоставляемых услуг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01.08.2026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328585,7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328585,7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328585,7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328585,7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328585,7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1.5.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Реорганизация отделений социального обслуживания на дому, функционирующих при районных центрах социальной поддержки населения, областном государственном автономном учреждении «Комплексный центр со</w:t>
            </w:r>
            <w:r>
              <w:rPr>
                <w:rFonts w:ascii="PT Astra Serif" w:hAnsi="PT Astra Serif" w:eastAsia="PT Astra Serif" w:cs="PT Astra Serif"/>
              </w:rPr>
              <w:t xml:space="preserve">циального обслуживания населения ЗАТО Северск»  путем их перевода в статус территориальных отделов в составе областного государственного автономного учреждения «Комплексный центр социального обслуживания населения Томской области» (далее - ОГАУ «КЦСОН ТО»)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Обеспечена централизация функции социального обслуживания на дому на базе ОГАУ «КЦСОН ТО»; создана единая структура надомного обслуживания с территориальным</w:t>
            </w:r>
            <w:r>
              <w:rPr>
                <w:rFonts w:ascii="PT Astra Serif" w:hAnsi="PT Astra Serif" w:eastAsia="PT Astra Serif" w:cs="PT Astra Serif"/>
              </w:rPr>
              <w:t xml:space="preserve">и отделами в муниципальных образованиях; устранено дублирование административных функций; сохранена доступность социальных услуг для граждан на всей территории области; высвобождены административные ставки для перераспределения в пользу основного персонала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492328,9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492281,6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492281,6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492281,6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492281,6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1.6.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Создание Управления социальной поддержки насе</w:t>
            </w:r>
            <w:r>
              <w:rPr>
                <w:rFonts w:ascii="PT Astra Serif" w:hAnsi="PT Astra Serif" w:eastAsia="PT Astra Serif" w:cs="PT Astra Serif"/>
              </w:rPr>
              <w:t xml:space="preserve">ления Томской области (далее – Управление) как единого юридического лица с территориальными отделами в районах Томской области и передачей ему функций по назначению мер социальной поддержки (социальных выплат) и оценке нуждаемости в социальном обслуживании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Сформирована организационная структура Управления; утверждено положение об Управлении; функции оценки нуждаемости и назначения выплат централизованы.</w:t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В районах созданы территориальные отделы (без статуса юридического лица)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693181,9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697239,6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702034,6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702034,6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702034,6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1.7.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Объединение  областного государственного казенного учреждения «Центр социальной помощи семье и детям Парабельского района» с  </w:t>
            </w:r>
            <w:r>
              <w:rPr>
                <w:rFonts w:ascii="PT Astra Serif" w:hAnsi="PT Astra Serif" w:eastAsia="PT Astra Serif" w:cs="PT Astra Serif"/>
              </w:rPr>
              <w:t xml:space="preserve">областным государственным казенным учреждением «Центр социальной помощи семье и детям Каргасокского района» и перепрофилирование в Семейный многофункциональный центр (далее – СМФЦ)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Повышение эффективности использования ресурсов.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Расширение охвата категорий обслуживаемых граждан для проактивного оказания услуг с целью предотвращения развития кризисных ситуаций в семьях и профилактики социального сиротства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01.08.2026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71155,1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val="en-US"/>
              </w:rPr>
              <w:t xml:space="preserve">58424</w:t>
            </w:r>
            <w:r>
              <w:t xml:space="preserve">,</w:t>
            </w:r>
            <w:r>
              <w:rPr>
                <w:lang w:val="en-US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val="en-US"/>
              </w:rPr>
              <w:t xml:space="preserve">58424</w:t>
            </w:r>
            <w:r>
              <w:t xml:space="preserve">,</w:t>
            </w:r>
            <w:r>
              <w:rPr>
                <w:lang w:val="en-US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58424,2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58424,2</w:t>
            </w:r>
            <w:r/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1.8.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Объединение областного государственного казенного учреждения «Центр помощи детям, оставшимся без попечения родителей г. Томска» с областным государственным казенным учреждением «Центр помощи детям, оставшимся без попечения родителей «Орлиное гнездо»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Повышение эффективности использования ресурсов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01.08.2026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148757,8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133599,7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133599,7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133599,7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133899,7</w:t>
            </w:r>
            <w:r/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1.9.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Объединение  областного государственного казенного учреждения «Центр помощи детям, оставшимся без попечения родителей</w:t>
            </w:r>
            <w:r>
              <w:rPr>
                <w:rFonts w:ascii="PT Astra Serif" w:hAnsi="PT Astra Serif" w:eastAsia="PT Astra Serif" w:cs="PT Astra Serif"/>
              </w:rPr>
              <w:t xml:space="preserve"> Зырянского района» с областным государственным казенным учреждением «Центр помощи детям, оставшимся без попечения родителей «Родник»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Повышение эффективности использования ресурсов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01.08.2026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113063,5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97677,3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97677,3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97677,3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89941,3</w:t>
            </w:r>
            <w:r/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1.10.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Перепрофилирование областного государственного казенного учреждения «Социально-реабилитационный центр для несовершеннолетних «Друг» г. Томска» в СМФЦ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Повышение эффективности использования ресурсов.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Расширение охвата категорий обслуживаемых граждан для проактивного оказания услуг с целью предотвращения развития кризисных ситуаций в семьях и профилактики социального сиротства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01.08.2026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30907,6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28216,8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28216,8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28216,8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28216,8</w:t>
            </w:r>
            <w:r/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1.11.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Реорганизация областного государственного казенного учреждения «Центр помощи детям, оставшимся без попечения родителей Асиновского района» путем присоединения к областному государственному казенному учреждению «Семейный многофункциональный центр помо</w:t>
            </w:r>
            <w:r>
              <w:rPr>
                <w:rFonts w:ascii="PT Astra Serif" w:hAnsi="PT Astra Serif" w:eastAsia="PT Astra Serif" w:cs="PT Astra Serif"/>
              </w:rPr>
              <w:t xml:space="preserve">щи семье и детям Асиновского района «СЛАД»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Повышение эффективности использования ресурсов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01.08.2026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124344,4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111196,6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111196,6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111196,6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102183,4</w:t>
            </w:r>
            <w:r/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Итого фин</w:t>
            </w:r>
            <w:r>
              <w:rPr>
                <w:rFonts w:ascii="PT Astra Serif" w:hAnsi="PT Astra Serif" w:eastAsia="PT Astra Serif" w:cs="PT Astra Serif"/>
              </w:rPr>
              <w:t xml:space="preserve">ансовые затраты на реализацию раздела 1 «Оптимизация сети организаций социального обслуживания (социальной защиты)» комплекса мероприятий региональной дорожной карты по повышению производительности труда в сфере социального обслуживания (социальной защиты)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2 321 764,4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2 267 109,8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2 271 904,8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2 271 904,8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2 255 455,6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40"/>
              </w:numPr>
              <w:ind w:left="0"/>
              <w:jc w:val="center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  <w:t xml:space="preserve">Оптимизация структуры организаций социального обслуживания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введенные с начала действия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Анализ фактической нагрузки работников и кадровой структуры организаций одного профиля, определение резервов оптимизации численности административно-управленческого и вспомогательного персонала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области, Депар</w:t>
            </w:r>
            <w:r>
              <w:rPr>
                <w:rFonts w:ascii="PT Astra Serif" w:hAnsi="PT Astra Serif" w:eastAsia="PT Astra Serif" w:cs="PT Astra Serif"/>
              </w:rPr>
              <w:t xml:space="preserve">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Формирование объективной картины кадровой структуры, выявление организаций с наибольшим потенциалом оптимизации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01.08.2026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30.06.2027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Актуализация штатных нормативов и организационных структур, перераспределение функций между работниками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области, 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Приведение организационных структур в соответствие с изменившейся конфигурацией сети, повышение доли основного персонала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Перераспределение высвобождаемых ставок в пользу основного персонала (</w:t>
            </w:r>
            <w:r>
              <w:rPr>
                <w:rFonts w:ascii="PT Astra Serif" w:hAnsi="PT Astra Serif" w:eastAsia="PT Astra Serif" w:cs="PT Astra Serif"/>
              </w:rPr>
              <w:t xml:space="preserve">помощников по уходу)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Высвобождаемые в результате централизации и оптимизации ставки административно-управленческого и вспомогательног</w:t>
            </w:r>
            <w:r>
              <w:rPr>
                <w:rFonts w:ascii="PT Astra Serif" w:hAnsi="PT Astra Serif" w:eastAsia="PT Astra Serif" w:cs="PT Astra Serif"/>
              </w:rPr>
              <w:t xml:space="preserve">о персонала в приоритетном порядке перераспределяются в пользу основного персонала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Итого финансовые затраты на реализацию раздела 2 «Оптимизация структуры организаций социального обслуживания» комплекса мероприятий региональной дорожной карты по повышению производительности труда в сфере социального обслуживания (социальной защиты)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40"/>
              </w:numPr>
              <w:ind w:left="0"/>
              <w:jc w:val="center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  <w:t xml:space="preserve">Совершенствование регламентирующих документов (рационализация и стандартизация процессов)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действующие в субъекте Российской Федерации до момента утверждения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Инвентаризация основных и обеспечивающих процессов, выявление дублирующих и избыточных операций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Перечень процессов, формирующих наибольшую нагрузку на работников, для последующей рационализации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</w:t>
            </w:r>
            <w:r>
              <w:rPr>
                <w:rFonts w:ascii="PT Astra Serif" w:hAnsi="PT Astra Serif" w:eastAsia="PT Astra Serif" w:cs="PT Astra Serif"/>
              </w:rPr>
              <w:t xml:space="preserve">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введенные с начала действия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Провед</w:t>
            </w:r>
            <w:r>
              <w:rPr>
                <w:rFonts w:ascii="PT Astra Serif" w:hAnsi="PT Astra Serif" w:eastAsia="PT Astra Serif" w:cs="PT Astra Serif"/>
              </w:rPr>
              <w:t xml:space="preserve">ение ревизии локальных нормативных актов на предмет выявления требований, не предусмотренных федеральным законодательством и создающих избыточную нагрузку на основной персонал, включая отмену требования о ведении </w:t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  <w:p>
            <w:pPr>
              <w:contextualSpacing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дневников ухода в двух бумажных экземплярах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Сокращение бумажной нагрузки на социальных работников и иной основной персонал.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Разработка и внедрение единых регламентов (порядков, стандартов) выполнения наиболее трудоемких процессов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Снижение трудозатрат и вариативности выполнения процессов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3.4.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Методическое сопровождение и мониторинг применения регламентов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Единообразие практики, повышение управляемости процессов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Итого финансовые затраты </w:t>
            </w:r>
            <w:r>
              <w:rPr>
                <w:rFonts w:ascii="PT Astra Serif" w:hAnsi="PT Astra Serif" w:eastAsia="PT Astra Serif" w:cs="PT Astra Serif"/>
              </w:rPr>
              <w:t xml:space="preserve">на реализацию раздела 3 «Совершенствование регламентирующих документов (рационализация и стандартизация процессов)» комплекса мероприятий региональной дорожной карты по повышению производительности труда в сфере социального обслуживания (социальной защиты)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40"/>
              </w:numPr>
              <w:ind w:left="0"/>
              <w:jc w:val="center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  <w:t xml:space="preserve">Централизация бухгалтерских, кадровых и закупочных функций в сети подведомственных организаций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введенные с начала действия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4.1.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Создание централизованных службы бухгалтерского учета и закупочной деятельности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Снижение дублирования операций; доля организаций с централизованными бухгалтерскими и закупочными функциями — до 100 % к 2030 году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r>
              <w:t xml:space="preserve">23080,1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r>
              <w:t xml:space="preserve">23080,1</w:t>
            </w:r>
            <w:r/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4.2.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Создание централизованной кадровой службы подведомственных организаций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Снижение дублирования операций; доля организаций с централизованными кадровыми службами — до 100 % к 2030 году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r>
              <w:t xml:space="preserve">4420,8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r>
              <w:t xml:space="preserve">4420,8</w:t>
            </w:r>
            <w:r/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Итого финансовые затраты на реализацию раздела 4 «Централизация бухгалтерских, кадровых и закупочных функций в сети подведомственных организаций» комплекса мероприятий региональной дорожной карты по повышению производительности труда в сфере социального об</w:t>
            </w:r>
            <w:r>
              <w:rPr>
                <w:rFonts w:ascii="PT Astra Serif" w:hAnsi="PT Astra Serif" w:eastAsia="PT Astra Serif" w:cs="PT Astra Serif"/>
              </w:rPr>
              <w:t xml:space="preserve">служивания (социальной защиты)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27 500,9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27 500,9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40"/>
              </w:numPr>
              <w:ind w:left="0"/>
              <w:jc w:val="center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  <w:t xml:space="preserve">Передача на внешнее исполнение (аутсорсинг) отдельных вспомогательных функций,</w:t>
            </w:r>
            <w:r>
              <w:rPr>
                <w:rFonts w:ascii="PT Astra Serif" w:hAnsi="PT Astra Serif" w:eastAsia="PT Astra Serif" w:cs="PT Astra Serif"/>
                <w:b/>
                <w:bCs/>
              </w:rPr>
              <w:br/>
              <w:t xml:space="preserve">не связанных непосредственно с предоставлением социальных услуг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введенные с начала действия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5.1.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Инвентаризация обеспечивающих функций и оценка экономической целесообразности их передачи на внешнее исполнение (стирка, уборка помещений,  транспортное обслуживание)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перечень вспомогательных функций,</w:t>
            </w:r>
            <w:r>
              <w:rPr>
                <w:rFonts w:ascii="PT Astra Serif" w:hAnsi="PT Astra Serif" w:eastAsia="PT Astra Serif" w:cs="PT Astra Serif"/>
              </w:rPr>
              <w:t xml:space="preserve"> подлежащих передаче на аутсорсинг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31.12.2028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5.2.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Поэтапная передача на внешнее исполнение отдельных вспомогательных функций при наличии экономической целесообразности с установлением требований к качеству и контролю исполнения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сокращение непрофильной занятости работников, снижение расходов на содержание вспомогательного персонала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31.12.2028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Итого финансовые затраты на реализацию раздела 5 «Передача на внешнее исполнение (аутсорсинг) отдельных вспомогательных функций, не связанных непосредственно с предоставлением социальных услуг» комплекса мероприятий региональной дорожной карты по повышению</w:t>
            </w:r>
            <w:r>
              <w:rPr>
                <w:rFonts w:ascii="PT Astra Serif" w:hAnsi="PT Astra Serif" w:eastAsia="PT Astra Serif" w:cs="PT Astra Serif"/>
              </w:rPr>
              <w:t xml:space="preserve"> производительности труда в сфере социального обслуживания (социальной защиты)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40"/>
              </w:numPr>
              <w:ind w:left="0"/>
              <w:jc w:val="center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  <w:t xml:space="preserve">Внедрение цифровых решений для автоматизации основных и обеспечивающих процессов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действующие в субъекте Российской Федерации до момента утверждения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6.1.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Использование государственных информационных систем (Многофункциональной региональной информационной системы Томской области: Соцзащита</w:t>
            </w:r>
            <w:r>
              <w:rPr>
                <w:rFonts w:ascii="PT Astra Serif" w:hAnsi="PT Astra Serif" w:eastAsia="PT Astra Serif" w:cs="PT Astra Serif"/>
              </w:rPr>
              <w:t xml:space="preserve">, электронный документооборот) в рамках предоставления мер социальной поддержки (выплат) и предоставления социальных услуг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области, 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Автоматизированный уч</w:t>
            </w:r>
            <w:r>
              <w:rPr>
                <w:rFonts w:ascii="PT Astra Serif" w:hAnsi="PT Astra Serif" w:eastAsia="PT Astra Serif" w:cs="PT Astra Serif"/>
              </w:rPr>
              <w:t xml:space="preserve">ет получателей социальных услуг и мер социальной поддержки, сокращение сроков обработки информации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введенные с начала действия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6.2.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Автоматизация кадровых, бухгалтерских, закупочных и отчетных процессов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сокращение доли ручных операций и дублирования ввода данных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6.3.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Внедрение мобильных рабочих мест для социальных работников (планшеты/смартфоны с геолокацией) с использованием мобильного приложения «Социальный работник»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</w:t>
            </w:r>
            <w:r>
              <w:rPr>
                <w:rFonts w:ascii="PT Astra Serif" w:hAnsi="PT Astra Serif" w:eastAsia="PT Astra Serif" w:cs="PT Astra Serif"/>
              </w:rPr>
              <w:t xml:space="preserve">окращение времени на оформление документации, автоматическое формирование дневников ухода и отчетности, фиксация геолокации посещений, синхронизация данных с ПК «Катарсис: Соцзащита» и ГИС ЕЦП в режиме реального времени, повышение мобильности и эффективнос</w:t>
            </w:r>
            <w:r>
              <w:rPr>
                <w:rFonts w:ascii="PT Astra Serif" w:hAnsi="PT Astra Serif" w:eastAsia="PT Astra Serif" w:cs="PT Astra Serif"/>
              </w:rPr>
              <w:t xml:space="preserve">ти работы социальных работников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6.4.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Подключение организаций, подведомственных Департаменту по вопросам семьи и детей Томской области, к системе межведомственного электронного взаимодействия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Обеспечение электронного взаимодействия с федеральными и региональными информационными системами; сокращение сроков обработки межведомственных запросов; исключение дублирования запросов в бумажном виде</w:t>
            </w:r>
            <w:r>
              <w:rPr>
                <w:rFonts w:ascii="PT Astra Serif" w:hAnsi="PT Astra Serif" w:eastAsia="PT Astra Serif" w:cs="PT Astra Serif"/>
              </w:rPr>
              <w:t xml:space="preserve">; повышение качества и оперативности предоставления социальных услуг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01.08.2026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Итого финансовые</w:t>
            </w:r>
            <w:r>
              <w:rPr>
                <w:rFonts w:ascii="PT Astra Serif" w:hAnsi="PT Astra Serif" w:eastAsia="PT Astra Serif" w:cs="PT Astra Serif"/>
              </w:rPr>
              <w:t xml:space="preserve"> затраты на реализацию раздела 6 «Внедрение цифровых решений для автоматизации основных и обеспечивающих процессов» комплекса мероприятий региональной дорожной карты по повышению производительности труда в сфере социального обслуживания (социальной защиты)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40"/>
              </w:numPr>
              <w:ind w:left="360"/>
              <w:jc w:val="center"/>
              <w:spacing w:line="240" w:lineRule="auto"/>
              <w:rPr>
                <w:rFonts w:ascii="PT Astra Serif" w:hAnsi="PT Astra Serif" w:eastAsia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  <w:t xml:space="preserve">Подключение рабочих мест работников организаций к функционалу Государственной информационной системы «Единая централизованная цифровая платформа в социальной сфере»</w:t>
            </w:r>
            <w:r>
              <w:rPr>
                <w:rFonts w:ascii="PT Astra Serif" w:hAnsi="PT Astra Serif" w:eastAsia="PT Astra Serif" w:cs="PT Astra Serif"/>
                <w:b/>
                <w:bCs/>
              </w:rPr>
            </w:r>
            <w:r>
              <w:rPr>
                <w:rFonts w:ascii="PT Astra Serif" w:hAnsi="PT Astra Serif" w:eastAsia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действующие в субъекте Российской Федерации до момента утверждения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7.1.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Обеспечение доступа подведомственных организаций социального обслуживания к функционалу ГИС «ЕЦП» в части просмотра статистических данных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Организации социального обслуживания получили доступ к статистической информации в ГИС «ЕЦП» для целей мониторинга и анализа деятельности; обеспечена возможность просмотра агрегированных данных без п</w:t>
            </w:r>
            <w:r>
              <w:rPr>
                <w:rFonts w:ascii="PT Astra Serif" w:hAnsi="PT Astra Serif" w:eastAsia="PT Astra Serif" w:cs="PT Astra Serif"/>
              </w:rPr>
              <w:t xml:space="preserve">рава внесения изменений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введенные с начала действия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7.2.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Проведение анализа процессов, подлежащих переводу в ГИС «ЕЦП»</w:t>
            </w:r>
            <w:r>
              <w:rPr>
                <w:rFonts w:ascii="PT Astra Serif" w:hAnsi="PT Astra Serif" w:eastAsia="PT Astra Serif" w:cs="PT Astra Serif"/>
              </w:rPr>
              <w:t xml:space="preserve">, и оценка готовности организаций социального обслуживания к работе в системе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Определен перечень процессов, для которых целесообразен перевод в ЕЦП; оценены цифровые компетенции работников и готовность</w:t>
            </w:r>
            <w:r>
              <w:rPr>
                <w:rFonts w:ascii="PT Astra Serif" w:hAnsi="PT Astra Serif" w:eastAsia="PT Astra Serif" w:cs="PT Astra Serif"/>
              </w:rPr>
              <w:t xml:space="preserve"> ИТ-инфраструктуры; выявлены организационные и технические барьеры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7.3.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Принятие решения о целесообразности подключения организаций социального обслуживания, подведомственных </w:t>
            </w:r>
            <w:r>
              <w:rPr>
                <w:rFonts w:ascii="PT Astra Serif" w:hAnsi="PT Astra Serif" w:eastAsia="PT Astra Serif" w:cs="PT Astra Serif"/>
              </w:rPr>
              <w:t xml:space="preserve">Департаменту по вопросам семьи и детей Томской области,  к функционалу ЕЦП с учетом специфики их деятельности и фактической потребности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по вопросам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 каждой организации принято обоснованное решение о подключении </w:t>
            </w:r>
            <w:r>
              <w:rPr>
                <w:rFonts w:ascii="PT Astra Serif" w:hAnsi="PT Astra Serif" w:eastAsia="PT Astra Serif" w:cs="PT Astra Serif"/>
              </w:rPr>
              <w:t xml:space="preserve">к ЕЦП (либо об отказе от подключения с указанием причин); определены процессы и категории работников, для которых использование ЕЦП является обязательным или рекомендуемым; сформирован план мероприятий по устранению барьеров для организаций, которым подклю</w:t>
            </w:r>
            <w:r>
              <w:rPr>
                <w:rFonts w:ascii="PT Astra Serif" w:hAnsi="PT Astra Serif" w:eastAsia="PT Astra Serif" w:cs="PT Astra Serif"/>
              </w:rPr>
              <w:t xml:space="preserve">чение признано целесообразным, но технически или организационно не готовым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Итого финансовые затраты на реализацию раздела 7 «Подключение рабочих мест работников организаций к</w:t>
            </w:r>
            <w:r>
              <w:rPr>
                <w:rFonts w:ascii="PT Astra Serif" w:hAnsi="PT Astra Serif" w:eastAsia="PT Astra Serif" w:cs="PT Astra Serif"/>
              </w:rPr>
              <w:t xml:space="preserve"> функционалу Государственной информационной системы «Единая централизованная цифровая платформа в социальной сфере» комплекса мероприятий региональной дорожной карты по повышению производительности труда в сфере социального обслуживания (социальной защиты)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555"/>
        </w:trPr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40"/>
              </w:numPr>
              <w:ind w:left="360"/>
              <w:jc w:val="center"/>
              <w:spacing w:after="119" w:line="240" w:lineRule="auto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  <w:t xml:space="preserve">Организация систематического обучения руководителей и работников организаций инструментам повышения производительности труда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действующие в субъекте Российской Федерации до момента утверждения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8.1.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Проведение ежегодного обучения руководителей отдельных организаций социального обслуживания инструментам повышения производительности труда и технологиям «бережливого производства»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Обеспечено ежегодно</w:t>
            </w:r>
            <w:r>
              <w:rPr>
                <w:rFonts w:ascii="PT Astra Serif" w:hAnsi="PT Astra Serif" w:eastAsia="PT Astra Serif" w:cs="PT Astra Serif"/>
              </w:rPr>
              <w:t xml:space="preserve">е повышение квалификации руководителей отдельных организаций социального обслуживания по вопросам производительности труда и бережливого производства; сформированы базовые компетенции у части руководящего состава для внедрения эффективных управленческих ре</w:t>
            </w:r>
            <w:r>
              <w:rPr>
                <w:rFonts w:ascii="PT Astra Serif" w:hAnsi="PT Astra Serif" w:eastAsia="PT Astra Serif" w:cs="PT Astra Serif"/>
              </w:rPr>
              <w:t xml:space="preserve">шений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01.01.2024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введенные с начала действия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8.2.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Организация  систематического обучения руководителей организаций социального обслуживания инструментам повышения производительности труда и технологиям «бережливого производства»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области, Департамент по вопро</w:t>
            </w:r>
            <w:r>
              <w:rPr>
                <w:rFonts w:ascii="PT Astra Serif" w:hAnsi="PT Astra Serif" w:eastAsia="PT Astra Serif" w:cs="PT Astra Serif"/>
              </w:rPr>
              <w:t xml:space="preserve">сам семьи и детей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Сформированы устойчивые компетенции у руководителей организаций социального обслуживания по применению инструментов повышения производительности труда и технологий «бережливого производства»; </w:t>
            </w:r>
            <w:r>
              <w:rPr>
                <w:rFonts w:ascii="PT Astra Serif" w:hAnsi="PT Astra Serif" w:eastAsia="PT Astra Serif" w:cs="PT Astra Serif"/>
              </w:rPr>
              <w:t xml:space="preserve">повышена эффективность организационных преобразований в рамках реализации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01.01.2027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Итого финансовые затраты на реализацию раздела 8 «Организаци</w:t>
            </w:r>
            <w:r>
              <w:rPr>
                <w:rFonts w:ascii="PT Astra Serif" w:hAnsi="PT Astra Serif" w:eastAsia="PT Astra Serif" w:cs="PT Astra Serif"/>
              </w:rPr>
              <w:t xml:space="preserve">я систематического обучения руководителей и работников организаций инструментам повышения производительности труда» комплекса мероприятий региональной дорожной карты по повышению производительности труда в сфере социального обслуживания (социальной защиты)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40"/>
              </w:numPr>
              <w:ind w:left="0"/>
              <w:jc w:val="center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  <w:t xml:space="preserve">Тиражирование лучших практик и «коробочных решений» в организациях, входящих в региональную дорожную карту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введенные с начала действия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9.1.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Отбор лучших практик и «коробочных решений», в том числе с использованием платформы «производительность.рф» для внедрения в организациях социального обслуживания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Определение перечня лучших практик и «</w:t>
            </w:r>
            <w:r>
              <w:rPr>
                <w:rFonts w:ascii="PT Astra Serif" w:hAnsi="PT Astra Serif" w:eastAsia="PT Astra Serif" w:cs="PT Astra Serif"/>
              </w:rPr>
              <w:t xml:space="preserve">коробочных решений» для тиражирования в организациях социального обслуживания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9.2.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Внедрение лучших практик и «коробочных решений» в организациях социального обслуживания (поэтапно)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f1115"/>
                <w:highlight w:val="white"/>
              </w:rPr>
              <w:t xml:space="preserve">вовлечение не менее 50 % организаций в проекты повышения производительности труда к концу 2030 года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9.3.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Мониторинг эффективности внедренных практик и подготовка предложений по их масштабированию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4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Департамент социальной защиты населения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Выявление наиболее эффективных решений для дальнейшего тиражирования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01.01.2029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31.12.2030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Итого финансовые затраты на реализацию раз</w:t>
            </w:r>
            <w:r>
              <w:rPr>
                <w:rFonts w:ascii="PT Astra Serif" w:hAnsi="PT Astra Serif" w:eastAsia="PT Astra Serif" w:cs="PT Astra Serif"/>
              </w:rPr>
              <w:t xml:space="preserve">дела 9 «Тиражирование лучших практик и «коробочных решений» в организациях, входящих в региональную дорожную карту» комплекса мероприятий региональной дорожной карты по повышению производительности труда в сфере социального обслуживания (социальной защиты)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23"/>
        </w:trPr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pStyle w:val="1026"/>
              <w:numPr>
                <w:ilvl w:val="0"/>
                <w:numId w:val="40"/>
              </w:numPr>
              <w:ind w:left="0"/>
              <w:jc w:val="center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  <w:t xml:space="preserve">Иные мероприятия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Мероприятия, действующие в субъекте Российской Федерации до момента утверждения региональной дорожной карты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10.1.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04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Направление не применяется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Итого финансовые затраты на реализацию раздела 10 «Иные мероприятия» комплекса мероприятий региональной дорожной карты по повышению производительности труда в сфере социального обслуживания (социальной защиты)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46" w:type="dxa"/>
            <w:textDirection w:val="lrTb"/>
            <w:noWrap w:val="false"/>
          </w:tcPr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 финансовые затраты на реализацию 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омплекса мероприятий региональной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дорожной карты в разбивке по источникам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4"/>
                <w:szCs w:val="24"/>
              </w:rPr>
              <w:t xml:space="preserve">2 321 764,4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4"/>
                <w:szCs w:val="24"/>
              </w:rPr>
              <w:t xml:space="preserve">2 267 109,8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4"/>
                <w:szCs w:val="24"/>
              </w:rPr>
              <w:t xml:space="preserve">2 271 904,8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4"/>
                <w:szCs w:val="24"/>
              </w:rPr>
              <w:t xml:space="preserve">2 299 405,7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color w:val="0f1115"/>
                <w:sz w:val="24"/>
                <w:szCs w:val="24"/>
              </w:rPr>
              <w:t xml:space="preserve">2 282 956,5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jc w:val="left"/>
        <w:spacing w:line="276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left"/>
        <w:spacing w:line="276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Style w:val="102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6094"/>
        <w:gridCol w:w="3587"/>
        <w:gridCol w:w="5342"/>
      </w:tblGrid>
      <w:tr>
        <w:tblPrEx/>
        <w:trPr/>
        <w:tc>
          <w:tcPr>
            <w:tcW w:w="6094" w:type="dxa"/>
            <w:textDirection w:val="lrTb"/>
            <w:noWrap w:val="false"/>
          </w:tcPr>
          <w:p>
            <w:pPr>
              <w:contextualSpacing/>
              <w:spacing w:line="240" w:lineRule="auto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Заместителя председателя Правительства Томской области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по социальной политике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  <w:p>
            <w:pPr>
              <w:contextualSpacing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358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5342" w:type="dxa"/>
            <w:vAlign w:val="bottom"/>
            <w:textDirection w:val="lrTb"/>
            <w:noWrap w:val="false"/>
          </w:tcPr>
          <w:p>
            <w:pPr>
              <w:contextualSpacing/>
              <w:jc w:val="right"/>
              <w:spacing w:line="240" w:lineRule="auto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С.Н. Грузных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  <w:p>
            <w:pPr>
              <w:contextualSpacing/>
              <w:jc w:val="right"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6094" w:type="dxa"/>
            <w:textDirection w:val="lrTb"/>
            <w:noWrap w:val="false"/>
          </w:tcPr>
          <w:p>
            <w:pPr>
              <w:contextualSpacing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 социальной защиты населения Томской области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358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5342" w:type="dxa"/>
            <w:vAlign w:val="bottom"/>
            <w:textDirection w:val="lrTb"/>
            <w:noWrap w:val="false"/>
          </w:tcPr>
          <w:p>
            <w:pPr>
              <w:contextualSpacing/>
              <w:jc w:val="right"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О.Н. Назаревич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6094" w:type="dxa"/>
            <w:vMerge w:val="restart"/>
            <w:textDirection w:val="lrTb"/>
            <w:noWrap w:val="false"/>
          </w:tcPr>
          <w:p>
            <w:pPr>
              <w:contextualSpacing/>
              <w:spacing w:line="240" w:lineRule="auto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contextualSpacing/>
              <w:spacing w:line="240" w:lineRule="auto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 по вопросам семьи и детей Томской области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587" w:type="dxa"/>
            <w:vAlign w:val="bottom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contextualSpacing/>
              <w:jc w:val="center"/>
              <w:spacing w:line="240" w:lineRule="auto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  <w:p>
            <w:pPr>
              <w:contextualSpacing/>
              <w:jc w:val="center"/>
              <w:spacing w:line="240" w:lineRule="auto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5342" w:type="dxa"/>
            <w:vAlign w:val="bottom"/>
            <w:vMerge w:val="restart"/>
            <w:textDirection w:val="lrTb"/>
            <w:noWrap w:val="false"/>
          </w:tcPr>
          <w:p>
            <w:pPr>
              <w:contextualSpacing/>
              <w:jc w:val="right"/>
              <w:spacing w:line="240" w:lineRule="auto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Н.Б. Извекова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Style w:val="1021"/>
        <w:tblW w:w="0" w:type="auto"/>
        <w:tblLayout w:type="fixed"/>
        <w:tblLook w:val="04A0" w:firstRow="1" w:lastRow="0" w:firstColumn="1" w:lastColumn="0" w:noHBand="0" w:noVBand="1"/>
      </w:tblPr>
      <w:tblGrid>
        <w:gridCol w:w="9496"/>
        <w:gridCol w:w="564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96" w:type="dxa"/>
            <w:textDirection w:val="lrTb"/>
            <w:noWrap w:val="false"/>
          </w:tcPr>
          <w:p>
            <w:pPr>
              <w:pStyle w:val="102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41" w:type="dxa"/>
            <w:textDirection w:val="lrTb"/>
            <w:noWrap w:val="false"/>
          </w:tcPr>
          <w:p>
            <w:pPr>
              <w:contextualSpacing/>
              <w:jc w:val="left"/>
              <w:spacing w:line="240" w:lineRule="auto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u w:val="none"/>
                <w:vertAlign w:val="baseline"/>
              </w:rPr>
              <w:t xml:space="preserve">Приложение № 2 к Плану мероприятий («дорожная карта») «Повышение производительности труда в сфере социального обслуживания (социальной защиты) Томской области» на 2026 – 2030 годы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</w:tbl>
    <w:p>
      <w:pPr>
        <w:pStyle w:val="1026"/>
        <w:ind w:left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center"/>
      </w:pPr>
      <w:r>
        <w:rPr>
          <w:rFonts w:ascii="PT Astra Serif" w:hAnsi="PT Astra Serif" w:cs="PT Astra Serif"/>
          <w:sz w:val="26"/>
          <w:szCs w:val="26"/>
        </w:rPr>
        <w:t xml:space="preserve">Описание динамики показателей, характеризующих ключевые группы граждан,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1026"/>
        <w:ind w:left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</w:rPr>
        <w:t xml:space="preserve">формирующие потенциальную потребность в социальном обслуживании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Style w:val="1021"/>
        <w:tblW w:w="0" w:type="auto"/>
        <w:tblLayout w:type="fixed"/>
        <w:tblLook w:val="04A0" w:firstRow="1" w:lastRow="0" w:firstColumn="1" w:lastColumn="0" w:noHBand="0" w:noVBand="1"/>
      </w:tblPr>
      <w:tblGrid>
        <w:gridCol w:w="541"/>
        <w:gridCol w:w="2152"/>
        <w:gridCol w:w="6094"/>
        <w:gridCol w:w="1276"/>
        <w:gridCol w:w="1276"/>
        <w:gridCol w:w="1276"/>
        <w:gridCol w:w="1276"/>
        <w:gridCol w:w="1247"/>
      </w:tblGrid>
      <w:tr>
        <w:tblPrEx/>
        <w:trPr>
          <w:trHeight w:val="33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Наименование ключевой группы граждан</w:t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Наименование показателя и единица измерения</w:t>
            </w:r>
            <w:r/>
          </w:p>
        </w:tc>
        <w:tc>
          <w:tcPr>
            <w:gridSpan w:val="5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350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Значение показателя на конец периода (год)</w:t>
            </w:r>
            <w:r/>
          </w:p>
        </w:tc>
      </w:tr>
      <w:tr>
        <w:tblPrEx/>
        <w:trPr>
          <w:trHeight w:val="37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2021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2022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2023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2024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2025</w:t>
            </w:r>
            <w:r/>
          </w:p>
        </w:tc>
      </w:tr>
      <w:tr>
        <w:tblPrEx/>
        <w:trPr>
          <w:trHeight w:val="273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Общее население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1070339,0</w:t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1068304,0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1052106,0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1043385,0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1039728,0</w:t>
            </w:r>
            <w:r/>
          </w:p>
        </w:tc>
      </w:tr>
      <w:tr>
        <w:tblPrEx/>
        <w:trPr>
          <w:trHeight w:val="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Граждане пожилого возраста (65 лет и старше, за исключением инвалидов)</w:t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Численность граждан данной категории, чел.</w:t>
            </w:r>
            <w:r/>
          </w:p>
        </w:tc>
        <w:tc>
          <w:tcPr>
            <w:tcBorders>
              <w:top w:val="singl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151544,0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153226,0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164307,0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170637,0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170637,0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 в общей численности населения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14,2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14,3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15,6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16,4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16,4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городской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68,4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68,0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69,4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69,2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69,4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сельской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31,6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32,0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30,6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30,9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f1115"/>
                <w:sz w:val="22"/>
                <w:u w:val="none"/>
                <w:vertAlign w:val="baseline"/>
              </w:rPr>
              <w:t xml:space="preserve">30,6</w:t>
            </w:r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труднодоступной местности/на удаленных территориях,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2,9</w:t>
            </w:r>
            <w:r/>
          </w:p>
        </w:tc>
      </w:tr>
      <w:tr>
        <w:tblPrEx/>
        <w:trPr>
          <w:trHeight w:val="80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признанных нуждающимися в социальном обслуживании, от общего числа граждан данной категории,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2,3</w:t>
            </w:r>
            <w:r/>
          </w:p>
        </w:tc>
      </w:tr>
      <w:tr>
        <w:tblPrEx/>
        <w:trPr>
          <w:trHeight w:val="142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в организациях социального обслуживания, осуществляющих деятельность на территории региона, от общего числа граждан данной категории, % 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2,4</w:t>
            </w:r>
            <w:r/>
          </w:p>
        </w:tc>
      </w:tr>
      <w:tr>
        <w:tblPrEx/>
        <w:trPr>
          <w:trHeight w:val="170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26,2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25,2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26,7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24,4</w:t>
            </w:r>
            <w:r/>
          </w:p>
        </w:tc>
      </w:tr>
      <w:tr>
        <w:tblPrEx/>
        <w:trPr>
          <w:trHeight w:val="1549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частичную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14,9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13,2</w:t>
            </w:r>
            <w:r/>
          </w:p>
        </w:tc>
      </w:tr>
      <w:tr>
        <w:tblPrEx/>
        <w:trPr>
          <w:trHeight w:val="273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Инвалиды </w:t>
              <w:br/>
              <w:t xml:space="preserve">(всех возрастов)</w:t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Численность граждан данной категории, чел.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63269,0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69549,0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62083,0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62071,0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62686,0</w:t>
            </w:r>
            <w:r/>
          </w:p>
        </w:tc>
      </w:tr>
      <w:tr>
        <w:tblPrEx/>
        <w:trPr>
          <w:trHeight w:val="55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 в общей численности населения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6,0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городской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56,3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52,8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61,5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61,6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сельской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43,7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47,2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39,4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38,5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38,4</w:t>
            </w:r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труднодоступной местности/на удаленных территориях,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1,8</w:t>
            </w:r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признанных нуждающимися в социальном обслуживании, от общего числа граждан данной категории,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6,4</w:t>
            </w:r>
            <w:r/>
          </w:p>
        </w:tc>
      </w:tr>
      <w:tr>
        <w:tblPrEx/>
        <w:trPr>
          <w:trHeight w:val="142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в организациях социального обслуживания, осуществляющих деятельность на территории региона, от общего числа граждан данной категории, % 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6,4</w:t>
            </w:r>
            <w:r/>
          </w:p>
        </w:tc>
      </w:tr>
      <w:tr>
        <w:tblPrEx/>
        <w:trPr>
          <w:trHeight w:val="141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16,8</w:t>
            </w:r>
            <w:r/>
          </w:p>
        </w:tc>
      </w:tr>
      <w:tr>
        <w:tblPrEx/>
        <w:trPr>
          <w:trHeight w:val="159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частичную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26,5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28,3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29,0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29,2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27,8</w:t>
            </w:r>
            <w:r/>
          </w:p>
        </w:tc>
      </w:tr>
      <w:tr>
        <w:tblPrEx/>
        <w:trPr>
          <w:trHeight w:val="273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Из общего числа инвалидов - дети-инвалиды в возрасте до 18 лет</w:t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Численность граждан данной категории, чел.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6695,0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7248,0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5831,0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5900,0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5345,0</w:t>
            </w:r>
            <w:r/>
          </w:p>
        </w:tc>
      </w:tr>
      <w:tr>
        <w:tblPrEx/>
        <w:trPr>
          <w:trHeight w:val="41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 в общей численности населения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0,5</w:t>
            </w:r>
            <w:r/>
          </w:p>
        </w:tc>
      </w:tr>
      <w:tr>
        <w:tblPrEx/>
        <w:trPr>
          <w:trHeight w:val="466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городской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66,1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66,2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65,2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59,0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67,3</w:t>
            </w:r>
            <w:r/>
          </w:p>
        </w:tc>
      </w:tr>
      <w:tr>
        <w:tblPrEx/>
        <w:trPr>
          <w:trHeight w:val="37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сельской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33,9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33,8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34,8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41,0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32,7</w:t>
            </w:r>
            <w:r/>
          </w:p>
        </w:tc>
      </w:tr>
      <w:tr>
        <w:tblPrEx/>
        <w:trPr>
          <w:trHeight w:val="71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труднодоступной местности/на удаленных территориях,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X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X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X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X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X</w:t>
            </w:r>
            <w:r/>
          </w:p>
        </w:tc>
      </w:tr>
      <w:tr>
        <w:tblPrEx/>
        <w:trPr>
          <w:trHeight w:val="65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признанных нуждающимися в социальном обслуживании, от общего числа граждан данной категории,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35,5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23,6</w:t>
            </w:r>
            <w:r/>
          </w:p>
        </w:tc>
      </w:tr>
      <w:tr>
        <w:tblPrEx/>
        <w:trPr>
          <w:trHeight w:val="1298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в организациях социального обслуживания, осуществляющих деятельность на территории региона, от общего числа граждан данной категории, % 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35,5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23,6</w:t>
            </w:r>
            <w:r/>
          </w:p>
        </w:tc>
      </w:tr>
      <w:tr>
        <w:tblPrEx/>
        <w:trPr>
          <w:trHeight w:val="1549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</w:tr>
      <w:tr>
        <w:tblPrEx/>
        <w:trPr>
          <w:trHeight w:val="141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частичную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Из общего числа инвалидов - инвалиды в возрасте от 18 до 64 лет</w:t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Численность граждан данной категории, чел.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24613,0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26342,0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29688,0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29240,0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29930,0</w:t>
            </w:r>
            <w:r/>
          </w:p>
        </w:tc>
      </w:tr>
      <w:tr>
        <w:tblPrEx/>
        <w:trPr>
          <w:trHeight w:val="55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 в общей численности населения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2,9</w:t>
            </w:r>
            <w:r/>
          </w:p>
        </w:tc>
      </w:tr>
      <w:tr>
        <w:tblPrEx/>
        <w:trPr>
          <w:trHeight w:val="41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городской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56,8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49,6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62,3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62,8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64,5</w:t>
            </w:r>
            <w:r/>
          </w:p>
        </w:tc>
      </w:tr>
      <w:tr>
        <w:tblPrEx/>
        <w:trPr>
          <w:trHeight w:val="466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сельской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43,2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50,4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35,5</w:t>
            </w:r>
            <w:r/>
          </w:p>
        </w:tc>
      </w:tr>
      <w:tr>
        <w:tblPrEx/>
        <w:trPr>
          <w:trHeight w:val="80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труднодоступной местности/на удаленных территориях,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1,7</w:t>
            </w:r>
            <w:r/>
          </w:p>
        </w:tc>
      </w:tr>
      <w:tr>
        <w:tblPrEx/>
        <w:trPr>
          <w:trHeight w:val="699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признанных нуждающимися в социальном обслуживании, от общего числа граждан данной категории,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3,3</w:t>
            </w:r>
            <w:r/>
          </w:p>
        </w:tc>
      </w:tr>
      <w:tr>
        <w:tblPrEx/>
        <w:trPr>
          <w:trHeight w:val="120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в организациях социального обслуживания, осуществляющих деятельность на территории региона, от общего числа граждан данной категории, % 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3,3</w:t>
            </w:r>
            <w:r/>
          </w:p>
        </w:tc>
      </w:tr>
      <w:tr>
        <w:tblPrEx/>
        <w:trPr>
          <w:trHeight w:val="1489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9,4</w:t>
            </w:r>
            <w:r/>
          </w:p>
        </w:tc>
      </w:tr>
      <w:tr>
        <w:tblPrEx/>
        <w:trPr>
          <w:trHeight w:val="144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частичную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56,6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54,7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53,7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56,1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61,2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Из общего числа инвалидов - инвалиды в возрасте от 65 лет и старше</w:t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Численность граждан данной категории, чел.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24175,0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24283,0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26564,0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26931,0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27411,0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 в общей численности населения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2,6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городской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45,1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65,1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69,3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68,8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68,5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сельской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54,9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34,9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30,7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31,2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31,5</w:t>
            </w:r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труднодоступной местности/на удаленных территориях,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2,2</w:t>
            </w:r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признанных нуждающимися в социальном обслуживании, от общего числа граждан данной категории,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11,0</w:t>
            </w:r>
            <w:r/>
          </w:p>
        </w:tc>
      </w:tr>
      <w:tr>
        <w:tblPrEx/>
        <w:trPr>
          <w:trHeight w:val="119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в организациях социального обслуживания, осуществляющих деятельность на территории региона, от общего числа граждан данной категории, % 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11,0</w:t>
            </w:r>
            <w:r/>
          </w:p>
        </w:tc>
      </w:tr>
      <w:tr>
        <w:tblPrEx/>
        <w:trPr>
          <w:trHeight w:val="148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16,7</w:t>
            </w:r>
            <w:r/>
          </w:p>
        </w:tc>
      </w:tr>
      <w:tr>
        <w:tblPrEx/>
        <w:trPr>
          <w:trHeight w:val="10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частичную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21,5</w:t>
            </w:r>
            <w:r/>
          </w:p>
        </w:tc>
      </w:tr>
      <w:tr>
        <w:tblPrEx/>
        <w:trPr>
          <w:trHeight w:val="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Граждане, находящиеся в трудной жизненной ситуации</w:t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Численность граждан данной категории, чел.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3114,0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3739,0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4936,0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3947,0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5001,0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 в общей численности населения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0,5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городской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8,3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сельской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48,2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41,4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38,6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33,7</w:t>
            </w:r>
            <w:r/>
          </w:p>
        </w:tc>
      </w:tr>
      <w:tr>
        <w:tblPrEx/>
        <w:trPr>
          <w:trHeight w:val="69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труднодоступной местности/на удаленных территориях,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4,6</w:t>
            </w:r>
            <w:r/>
          </w:p>
        </w:tc>
      </w:tr>
      <w:tr>
        <w:tblPrEx/>
        <w:trPr>
          <w:trHeight w:val="68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признанных нуждающимися в социальном обслуживании, от общего числа граждан данной категории,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0,4</w:t>
            </w:r>
            <w:r/>
          </w:p>
        </w:tc>
      </w:tr>
      <w:tr>
        <w:tblPrEx/>
        <w:trPr>
          <w:trHeight w:val="1329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в организациях социального обслуживания, осуществляющих деятельность на территории региона, от общего числа граждан данной категории, % 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0,4</w:t>
            </w:r>
            <w:r/>
          </w:p>
        </w:tc>
      </w:tr>
      <w:tr>
        <w:tblPrEx/>
        <w:trPr>
          <w:trHeight w:val="1549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</w:tr>
      <w:tr>
        <w:tblPrEx/>
        <w:trPr>
          <w:trHeight w:val="1503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частичную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</w:tr>
      <w:tr>
        <w:tblPrEx/>
        <w:trPr>
          <w:trHeight w:val="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Граждане из числа малоимущих семей</w:t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Численность граждан данной категории, чел.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10561,0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8398,0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7118,0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6990,0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6754,0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 в общей численности населения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0,6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городской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56,8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сельской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39,8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44,1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46,2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46,2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43,2</w:t>
            </w:r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труднодоступной местности/на удаленных территориях,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1,9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2,9</w:t>
            </w:r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признанных нуждающимися в социальном обслуживании, от общего числа граждан данной категории,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</w:tr>
      <w:tr>
        <w:tblPrEx/>
        <w:trPr>
          <w:trHeight w:val="126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в организациях социального обслуживания, осуществляющих деятельность на территории региона, от общего числа граждан данной категории, % 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</w:tr>
      <w:tr>
        <w:tblPrEx/>
        <w:trPr>
          <w:trHeight w:val="138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</w:tr>
      <w:tr>
        <w:tblPrEx/>
        <w:trPr>
          <w:trHeight w:val="1416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частичную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</w:tr>
      <w:tr>
        <w:tblPrEx/>
        <w:trPr>
          <w:trHeight w:val="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Дети-сироты и дети, оставшиеся без попечения родителей</w:t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Численность граждан данной категории, чел.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4279,0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4146,0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3782,0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3572,0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3248,0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 в общей численности населения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0,3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городской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48,1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49,7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49,8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51,6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51,7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сельской местности,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52,0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50,3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50,2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48,4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48,3</w:t>
            </w:r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проживающих в труднодоступной местности/на удаленных территориях,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1,8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2,1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2,3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2,1</w:t>
            </w:r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признанных нуждающимися в социальном обслуживании, от общего числа граждан данной категории,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100,0</w:t>
            </w:r>
            <w:r/>
          </w:p>
        </w:tc>
      </w:tr>
      <w:tr>
        <w:tblPrEx/>
        <w:trPr>
          <w:trHeight w:val="992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в организациях социального обслуживания, осуществляющих деятельность на территории региона, от общего числа граждан данной категории, % 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100,0</w:t>
            </w:r>
            <w:r/>
          </w:p>
        </w:tc>
      </w:tr>
      <w:tr>
        <w:tblPrEx/>
        <w:trPr>
          <w:trHeight w:val="1266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</w:tr>
      <w:tr>
        <w:tblPrEx/>
        <w:trPr>
          <w:trHeight w:val="1246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5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94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Доля граждан данной категории, получивших социальные услуги за частичную плату, от общего числа граждан данной категории, получивших социальные услуги в организациях социального обслуживания, осуществляющих деятельность на территории региона, %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47" w:type="dxa"/>
            <w:vAlign w:val="center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0,0</w:t>
            </w:r>
            <w:r/>
          </w:p>
        </w:tc>
      </w:tr>
    </w:tbl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Style w:val="1021"/>
        <w:tblW w:w="0" w:type="auto"/>
        <w:tblLayout w:type="fixed"/>
        <w:tblLook w:val="04A0" w:firstRow="1" w:lastRow="0" w:firstColumn="1" w:lastColumn="0" w:noHBand="0" w:noVBand="1"/>
      </w:tblPr>
      <w:tblGrid>
        <w:gridCol w:w="9496"/>
        <w:gridCol w:w="564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96" w:type="dxa"/>
            <w:textDirection w:val="lrTb"/>
            <w:noWrap w:val="false"/>
          </w:tcPr>
          <w:p>
            <w:pPr>
              <w:pStyle w:val="102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41" w:type="dxa"/>
            <w:textDirection w:val="lrTb"/>
            <w:noWrap w:val="false"/>
          </w:tcPr>
          <w:p>
            <w:pPr>
              <w:contextualSpacing/>
              <w:jc w:val="left"/>
              <w:spacing w:line="240" w:lineRule="auto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6"/>
                <w:u w:val="none"/>
                <w:vertAlign w:val="baseline"/>
              </w:rPr>
              <w:t xml:space="preserve">Приложение № 3 к Плану мероприятий («дорожной карте») «Повышение производительности труда в сфере социального обслуживания (социальной защиты) Томской области» на 2026 – 2030 годы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</w:tbl>
    <w:p>
      <w:pPr>
        <w:pStyle w:val="1026"/>
        <w:ind w:left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6"/>
        <w:ind w:left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Система социального обслуживания Томской области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6"/>
        <w:ind w:left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Style w:val="1021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2985"/>
        <w:gridCol w:w="1114"/>
        <w:gridCol w:w="2031"/>
        <w:gridCol w:w="1655"/>
        <w:gridCol w:w="1174"/>
        <w:gridCol w:w="2663"/>
        <w:gridCol w:w="1559"/>
        <w:gridCol w:w="1389"/>
      </w:tblGrid>
      <w:tr>
        <w:tblPrEx/>
        <w:trPr>
          <w:trHeight w:val="31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Официальное сокращенное наименование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ИНН</w:t>
              <w:br/>
              <w:t xml:space="preserve">КПП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Тип организации в соответствии с номенклатурой организаций социального обслуживания, утвержденной в регионе 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Форма(ы) предоставления социальных услуг и количество предоставленных услуг (включая услуги, предоставленные в рамках системы долговременного ухода и срочные социальные услуги)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Категории (из числа ключевых групп) и численность получателей социальных услуг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Наличие иных направлений деятельности помимо предоставления социальных услуг в соответствии с Федеральным законом от 28 декабря 2013 г.</w:t>
              <w:br/>
              <w:t xml:space="preserve">№ 442-ФЗ «Об основах социального обслуживания граждан в Российской Федерации»</w:t>
              <w:br/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Наличие у организации территориальной сети (удаленных структурных подразделений, расположенных по разным адресам)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Централизация вспомогательных функций </w:t>
              <w:br/>
              <w:br/>
            </w:r>
            <w:r/>
          </w:p>
        </w:tc>
      </w:tr>
      <w:tr>
        <w:tblPrEx/>
        <w:trPr>
          <w:trHeight w:val="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9</w:t>
            </w:r>
            <w:r/>
          </w:p>
        </w:tc>
      </w:tr>
      <w:tr>
        <w:tblPrEx/>
        <w:trPr>
          <w:trHeight w:val="360"/>
        </w:trPr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137" w:type="dxa"/>
            <w:vAlign w:val="center"/>
            <w:textDirection w:val="lrTb"/>
            <w:noWrap w:val="false"/>
          </w:tcPr>
          <w:p>
            <w:pPr>
              <w:ind w:left="113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      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Организации, </w:t>
            </w: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уполномоченные на признание граждан нуждающимися в социальном обслуживании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, составление индивидуальной программы предоставления социальных услуг</w:t>
            </w:r>
            <w:r/>
          </w:p>
        </w:tc>
      </w:tr>
      <w:tr>
        <w:tblPrEx/>
        <w:trPr>
          <w:trHeight w:val="44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Ленинского района г. Томска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7017148618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(за исключением социальных выплат на оплату ЖКУ);</w:t>
              <w:br/>
              <w:t xml:space="preserve">обслуживание инвалидов легковым автомобильным транспортом (социальное такси);</w:t>
              <w:br/>
              <w:t xml:space="preserve">оформление и выдача удостоверений о праве на льготы;</w:t>
              <w:br/>
              <w:t xml:space="preserve">орг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анизация и содействие в подготовке 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др.</w:t>
              <w:br/>
              <w:t xml:space="preserve">реализация социальных программ;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реализация мер социальной поддержки, установленных решением Думы города Томск (в рамках контракта).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10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ОГАУ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КЦСОН ТО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7018016082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комплексный центр социального обслуживания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- 1338443 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- 1224;</w:t>
              <w:br/>
              <w:t xml:space="preserve">инвалиды - 1033;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vMerge w:val="restart"/>
            <w:textDirection w:val="lrTb"/>
            <w:noWrap w:val="false"/>
          </w:tcPr>
          <w:p>
            <w:pPr>
              <w:ind w:left="57" w:right="57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10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полустационар  - 222173              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- 593;</w:t>
              <w:br/>
              <w:t xml:space="preserve">инвалиды -232;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</w:tr>
      <w:tr>
        <w:tblPrEx/>
        <w:trPr>
          <w:trHeight w:val="9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           </w:t>
              <w:br/>
              <w:t xml:space="preserve">срочные социальные услуги -   54039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- 1111;</w:t>
              <w:br/>
              <w:t xml:space="preserve">инвалиды - 378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</w:tr>
      <w:tr>
        <w:tblPrEx/>
        <w:trPr>
          <w:trHeight w:val="8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ОГАУ 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КЦСОН ЗАТО Северск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7024012488</w:t>
              <w:br/>
              <w:t xml:space="preserve">702401001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комплексный центр социального обслуживания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- 179360    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- 337;</w:t>
              <w:br/>
              <w:t xml:space="preserve">инвалиды - 227;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vMerge w:val="restart"/>
            <w:textDirection w:val="lrTb"/>
            <w:noWrap w:val="false"/>
          </w:tcPr>
          <w:p>
            <w:pPr>
              <w:ind w:left="57" w:right="57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обслуживание инвалидов легковым автомобильным транспортом (социальное такси)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8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срочные социальные услуги - 3152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- 536;</w:t>
              <w:br/>
              <w:t xml:space="preserve">инвалиды - 706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</w:tr>
      <w:tr>
        <w:tblPrEx/>
        <w:trPr>
          <w:trHeight w:val="29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Александровского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7022014634</w:t>
              <w:br/>
              <w:t xml:space="preserve">701001000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- 7889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- 26;</w:t>
              <w:br/>
              <w:t xml:space="preserve">инвалиды - 21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Асиновского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7002011755</w:t>
              <w:br/>
              <w:t xml:space="preserve">700201001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- 162548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- 266;</w:t>
              <w:br/>
              <w:t xml:space="preserve">инвалиды - 139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Бакчарского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7003003620</w:t>
              <w:br/>
              <w:t xml:space="preserve">700301001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- 10547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- 26;</w:t>
              <w:br/>
              <w:t xml:space="preserve">инвалиды - 9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1.7.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Верхнекетского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7004005210</w:t>
              <w:br/>
              <w:t xml:space="preserve">700401001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- 209573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- 146;</w:t>
              <w:br/>
              <w:t xml:space="preserve">инвалиды - 81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1.8.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Зырянского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7005006390</w:t>
              <w:br/>
              <w:t xml:space="preserve">700501001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- 182268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- 100;</w:t>
              <w:br/>
              <w:t xml:space="preserve">инвалиды - 48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8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1.9.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Каргасокского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7006006690</w:t>
              <w:br/>
              <w:t xml:space="preserve">700601001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- 182268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- 70;</w:t>
              <w:br/>
              <w:t xml:space="preserve">инвалиды - 32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9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1.10.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г.Кедрового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7023005022</w:t>
              <w:br/>
              <w:t xml:space="preserve">702301001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- 3818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- 5;</w:t>
              <w:br/>
              <w:t xml:space="preserve">инвалиды - 9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9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Кожевниковского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7008006783</w:t>
              <w:br/>
              <w:t xml:space="preserve">700801001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- 40376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- 110;</w:t>
              <w:br/>
              <w:t xml:space="preserve">инвалиды - 60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9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Колпашевского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7007008675</w:t>
              <w:br/>
              <w:t xml:space="preserve">700701001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- 226035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- 129;</w:t>
              <w:br/>
              <w:t xml:space="preserve">инвалиды - 103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9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Кривошеинского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7009003464</w:t>
              <w:br/>
              <w:t xml:space="preserve">700901001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- 56063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- 134;</w:t>
              <w:br/>
              <w:t xml:space="preserve">инвалиды - 43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8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Молчановского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7010005699</w:t>
              <w:br/>
              <w:t xml:space="preserve">701001001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- 314001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- 153;</w:t>
              <w:br/>
              <w:t xml:space="preserve">инвалиды - 64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8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Парабельского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7011005187</w:t>
              <w:br/>
              <w:t xml:space="preserve">701101001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 36819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- 72;</w:t>
              <w:br/>
              <w:t xml:space="preserve">инвалиды - 22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9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Первомайского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7012005165</w:t>
              <w:br/>
              <w:t xml:space="preserve">701201001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- 44134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- 31;</w:t>
              <w:br/>
              <w:t xml:space="preserve">инвалиды - 19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1.17.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ОГАУ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г.Стрежевой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7022014627</w:t>
              <w:br/>
              <w:t xml:space="preserve">702201001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- 7980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- 16;</w:t>
              <w:br/>
              <w:t xml:space="preserve">инвалиды - 24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9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1.18.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Тегульдетского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7005015606</w:t>
              <w:br/>
              <w:t xml:space="preserve">700501001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- 27018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- 36;</w:t>
              <w:br/>
              <w:t xml:space="preserve">инвалиды - 20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9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1.19.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Чаинского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7015002758</w:t>
              <w:br/>
              <w:t xml:space="preserve">701501001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- 30047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- 40;</w:t>
              <w:br/>
              <w:t xml:space="preserve">инвалиды - 15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1.20.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ОГКУ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ЦСПН Шегарского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7016005938</w:t>
              <w:br/>
              <w:t xml:space="preserve">701601001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на дому - 83587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- 154;</w:t>
              <w:br/>
              <w:t xml:space="preserve">инвалиды - 91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(в т.ч. социальных выплат на оплату ЖКУ);</w:t>
              <w:br/>
              <w:t xml:space="preserve">обслуживание инвалидов легковым 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втомобильным транспортом (социальное такси);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оформление и выдача удостоверений о праве на льготы;</w:t>
              <w:br/>
              <w:t xml:space="preserve">организация и содействие в подготовке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 др.</w:t>
              <w:br/>
              <w:t xml:space="preserve">реализация социальных программ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ОГБУ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Центр социальной адаптации г. Томска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7017010659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адаптации, в том числе для лиц без определенного места жительства и занятий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полустационар - 68856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- 26;</w:t>
              <w:br/>
              <w:t xml:space="preserve">инвалиды - 38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vMerge w:val="restart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срочные социальные услуги - 355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- 13;</w:t>
              <w:br/>
              <w:t xml:space="preserve">инвалиды - 1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</w:tr>
      <w:tr>
        <w:tblPrEx/>
        <w:trPr>
          <w:trHeight w:val="4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Областное государственное казенное учреждение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Социально-реабилитационный центр для несовершеннолетних Александровского района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7022016208</w:t>
              <w:br/>
              <w:t xml:space="preserve">702200000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социально-реабилитационный центр для несовершеннолетних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- 17910 полустационарная - 29946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- 265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работа с кризисными семьями по технологии «случай»;</w:t>
            </w:r>
            <w:r/>
          </w:p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школа приемных родителей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государственное казенное учреждение «Социально-реабилитационный центр для несовершеннолетних «Друг» города Томска»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7020029392 </w:t>
              <w:br/>
              <w:t xml:space="preserve"> 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социально-реабилитационный центр для несовершеннолетних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полустационарная -  10764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- 877;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- 18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«Социально–реабилитационный центр для несовершеннолетних «Луч» г. Томска»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7019033274 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социально-реабилитационный центр для несовершеннолетних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- 74729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- 542;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срочные услуги - 3008</w:t>
            </w:r>
            <w:r/>
          </w:p>
        </w:tc>
        <w:tc>
          <w:tcPr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дети-инвалиды - 18</w:t>
            </w:r>
            <w:r/>
          </w:p>
        </w:tc>
        <w:tc>
          <w:tcPr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работа с кризисными семьями по технологии «случай»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</w:tr>
      <w:tr>
        <w:tblPrEx/>
        <w:trPr>
          <w:trHeight w:val="7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«Семейный многофункциональный центр Асиновского района «СЛАД»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7002001235 </w:t>
              <w:br/>
              <w:t xml:space="preserve"> 700201001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семейный многофункциональный центр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- 53905 полустационарная - 4105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срочные услуги - 2240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- 822;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- 212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социальной помощи семье и детям Колпашевского района»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7007005610 </w:t>
              <w:br/>
              <w:t xml:space="preserve">700701001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помощи семье и детям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- 48690 полустационарная - 16383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срочные услуги -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 1702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- 346;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</w:t>
            </w:r>
            <w:r/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инвалиды - 53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1.27.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социальной помощи семье и детям Томского района»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7014016885 </w:t>
              <w:br/>
              <w:t xml:space="preserve"> 701401001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помощи семье и детям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- 81576;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срочные услуги - 6365</w:t>
            </w:r>
            <w:r/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- 6477;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- 27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1.28.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 учреждение «Центр социальной помощи семье и детям Каргасокского района»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7006004220 </w:t>
              <w:br/>
              <w:t xml:space="preserve">700601001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помощи семье и детям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полустационарная - 31170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- 970;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- 65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1.29.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социальной помощи семье и детям г. Стрежевого «Детство»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7022012620 </w:t>
              <w:br/>
              <w:t xml:space="preserve">702201001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помощи семье и детям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полустационарная - 63596;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срочные услуги - 154</w:t>
            </w:r>
            <w:r/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- 908;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- 48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1.30.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 учреждение «Центр социальной помощи семье и детям Молчановского района»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7010002112 </w:t>
              <w:br/>
              <w:t xml:space="preserve">701001001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помощи семье и детям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полустационарная - 57919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- 6493;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- 161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8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1.31..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социальной помощи семье и детям Парабельского района»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7011002309 </w:t>
              <w:br/>
              <w:t xml:space="preserve"> 701101001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помощи семье и детям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полустационарная - 96210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- 800;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- 5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социальной помощи семье и детям Чаинского района»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7015002469</w:t>
              <w:br/>
              <w:t xml:space="preserve">701500000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помощи семье и детям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полустационарная - 20708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- 878;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- 23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1.33..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казённое учреждение «Центр социальной помощи семье и детям «Огонёк» г. Томска»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7018026073 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помощи семье и детям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полустационарная - 65007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- 5553;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- 162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стационарное учреждение «Реабилитационный Центр для детей и подростков с ограниченными возможностями «Надежда»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7014015560 </w:t>
              <w:br/>
              <w:t xml:space="preserve"> 701401001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реабилитационный центр для детей и подростков с ограниченными возможностями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- 228526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- 321;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- 323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vMerge w:val="restart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 учреждение «Реабилитационный Центр для детей и подростков с ограниченными возможностями ЗАТО Северск»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7024009284 </w:t>
              <w:br/>
              <w:t xml:space="preserve"> 702401001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реабилитационный центр для детей и подростков с ограниченными возможностями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полустационарная - 203404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 из семей в трудной жизненной ситуации - 861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дети-инвалиды - 120</w:t>
            </w:r>
            <w:r/>
          </w:p>
        </w:tc>
        <w:tc>
          <w:tcPr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</w:tr>
      <w:tr>
        <w:tblPrEx/>
        <w:trPr>
          <w:trHeight w:val="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помощи детям, оставшимся без попечения родителей, Асиновского района»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7002008897</w:t>
              <w:br/>
              <w:t xml:space="preserve"> 700201001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помощи детям, оставшимся без попечения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- 512729;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срочные услуги - 208</w:t>
            </w:r>
            <w:r/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дети-сироты и дети, оставшиеся без попечения родителей - 88;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 из семей в трудной жизненной ситуации -152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- 21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10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1.37.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помощи детям, оставшимся без попечения родителей, Бакчарского района»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7003000724</w:t>
              <w:br/>
              <w:t xml:space="preserve">700301001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помощи детям, оставшимся без попечения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- 227468;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срочные услуги - 446</w:t>
            </w:r>
            <w:r/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дети-сироты и дети, оставшиеся без попечения родителей - 55;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 из семей в трудной жизненной ситуации -287;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- 24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11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1.38.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помощи детям, оставшимся без попечения родителей, имени М.И.Никульшина»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7007002024 </w:t>
              <w:br/>
              <w:t xml:space="preserve">700701001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помощи детям, оставшимся без попечения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- 216009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дети-сироты и дети, оставшиеся без попечения родителей - 44;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 из семей в трудной жизненной ситуации - 62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- 9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1.39.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 государственное казенное учреждение «Центр помощи детям, оставшимся без попечения родителей, «Орлиное гнездо»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7018045157 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помощи детям, оставшимся без попечения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- 637716;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срочные услуги - 69</w:t>
            </w:r>
            <w:r/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дети-сироты и дети, оставшиеся без попечения родителей - 72;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 из семей в трудной жизненной ситуации - 130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- 4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9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1.40.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"Центр помощи детям, оставшимся без попечения родителей, "Родник"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7007002024 </w:t>
              <w:br/>
              <w:t xml:space="preserve"> 700501001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помощи детям, оставшимся без попечения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- 195670;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срочные услуги - 300</w:t>
            </w:r>
            <w:r/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дети-сироты и дети, оставшиеся без попечения родителей - 43;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 из семей в трудной жизненной ситуации - 1315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- 9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</w:tr>
      <w:tr>
        <w:tblPrEx/>
        <w:trPr>
          <w:trHeight w:val="9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1.41..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помощи детям, оставшимся без попечения родителей, «Росток»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7021043865 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помощи детям, оставшимся без попечения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vMerge w:val="restart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- 349473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дети-сироты и дети, оставшиеся без попечения родителей - 94;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- 19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vMerge w:val="restart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7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1.42.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   казенное учреждение «Центр помощи детям, оставшимся без попечения родителей, Зырянского района»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7005003713 </w:t>
              <w:br/>
              <w:t xml:space="preserve">700501001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помощи детям, оставшимся без попечения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- 274340;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срочные услуги - 100</w:t>
            </w:r>
            <w:r/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дети-сироты и дети, оставшиеся без попечения родителей - 59;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 из семей в трудной жизненной ситуации - 232;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 - 30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работа с кризисными семьями по технологии «случай»;</w:t>
              <w:br/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1.43.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помощи детям, оставшимся без попечения родителей, г.Томска»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7017384189 </w:t>
              <w:br/>
              <w:t xml:space="preserve"> 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помощи детям, оставшимся без попечения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- 534796;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срочные услуги - 1396</w:t>
            </w:r>
            <w:r/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дети-сироты и дети, оставшиеся без попечения родителей - 72;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 из семей в трудной жизненной ситуации - 241;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инвалиды - 13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сопровождение замещающих семей;</w:t>
              <w:br/>
              <w:t xml:space="preserve">постинтернатное сопровождение выпускников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1.44.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казенное учреждение «Центр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 «Малышок»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7019027168 </w:t>
              <w:br/>
              <w:t xml:space="preserve"> 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left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 - 398297;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полустационарная - 1617</w:t>
            </w:r>
            <w:r/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дети-сироты и дети, оставшиеся без попечения родителей - 148;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дети-инвалиды- 8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highlight w:val="none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vMerge w:val="restart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школа приемных родителей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1.45.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top"/>
            <w:vMerge w:val="restart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Областное государственное казённое стационарное учреждение для умственно отсталых детей «Тунгусовский детский дом-интернат»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7010000309   701001001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детский дом-интернат для умственно отсталых детей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top"/>
            <w:textDirection w:val="lrTb"/>
            <w:noWrap w:val="false"/>
          </w:tcPr>
          <w:p>
            <w:pPr>
              <w:ind w:firstLine="3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стационарная - 2034208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firstLine="3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срочные услуги - 24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0"/>
              <w:jc w:val="center"/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top"/>
            <w:textDirection w:val="lrTb"/>
            <w:noWrap w:val="false"/>
          </w:tcPr>
          <w:p>
            <w:pPr>
              <w:ind w:firstLine="3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дети-сироты и дети, оставшиеся без попечения родителей - 89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firstLine="32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Дети-инвалиды - 77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vMerge w:val="restart"/>
            <w:textDirection w:val="lrTb"/>
            <w:noWrap w:val="false"/>
          </w:tcPr>
          <w:p>
            <w:pPr>
              <w:ind w:left="0" w:right="57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0"/>
                <w:szCs w:val="20"/>
                <w:highlight w:val="none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285"/>
        </w:trPr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137" w:type="dxa"/>
            <w:vAlign w:val="center"/>
            <w:textDirection w:val="lrTb"/>
            <w:noWrap w:val="false"/>
          </w:tcPr>
          <w:p>
            <w:pPr>
              <w:ind w:left="113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      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Государственные (муниципальные) </w:t>
            </w: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организации социального обслуживания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(за исключением организаций, перечисленных в разделе 1 таблицы)</w:t>
            </w:r>
            <w:r/>
          </w:p>
        </w:tc>
      </w:tr>
      <w:tr>
        <w:tblPrEx/>
        <w:trPr>
          <w:trHeight w:val="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ОГБУ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ДИПИ "Виола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ЗАТО Северск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7024008812</w:t>
              <w:br/>
              <w:t xml:space="preserve">702401001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дом-интернат для престарелых и инвалидов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 632683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- 39;</w:t>
              <w:br/>
              <w:t xml:space="preserve">инвалиды - 85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ОГБУ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ДИПИ Александровского района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7001002236</w:t>
              <w:br/>
              <w:t xml:space="preserve">702201001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дом-интернат для престарелых и инвалидов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- 171635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- 7;</w:t>
              <w:br/>
              <w:t xml:space="preserve">инвалиды - 18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ОГБУ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ДИПИ Чаинского района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7015002187</w:t>
              <w:br/>
              <w:t xml:space="preserve">701501001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дом-интернат для престарелых и инвалидов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- 210456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- 19;</w:t>
              <w:br/>
              <w:t xml:space="preserve">инвалиды - 26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ОГАУ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ДСО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Забота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7016001620</w:t>
              <w:br/>
              <w:t xml:space="preserve">701601001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дом социального обслуживания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- 387633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- 0;</w:t>
              <w:br/>
              <w:t xml:space="preserve">инвалиды - 707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ОГБУ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ДСО 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Милосердие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7014005146</w:t>
              <w:br/>
              <w:t xml:space="preserve">701401001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дом социального обслуживания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- 795709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- 0;</w:t>
              <w:br/>
              <w:t xml:space="preserve">инвалиды - 142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7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ОГБУ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ДСО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Парус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7007005057</w:t>
              <w:br/>
              <w:t xml:space="preserve">700701001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дом социального обслуживания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- 293404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- 0;</w:t>
              <w:br/>
              <w:t xml:space="preserve">инвалиды - 65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2.7.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ОГБУ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Итатский ДИПИ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7014009609</w:t>
              <w:br/>
              <w:t xml:space="preserve">701401001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дом-интернат для престарелых и инвалидов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-202685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- 21;</w:t>
              <w:br/>
              <w:t xml:space="preserve">инвалиды - 25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9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2.8.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ОГБУ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Наргинский ДИПИ Молчановского района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7010002218</w:t>
              <w:br/>
              <w:t xml:space="preserve">701001001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дом-интернат для престарелых и инвалидов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- 165296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- 22;</w:t>
              <w:br/>
              <w:t xml:space="preserve">инвалиды - 36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2.9.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ОГАУ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ДИПИ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Лесная дача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7016001098</w:t>
              <w:br/>
              <w:t xml:space="preserve">701601001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дом-интернат для престарелых и инвалидов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- 8640359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- 83;</w:t>
              <w:br/>
              <w:t xml:space="preserve">инвалиды - 509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9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2.10.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ОГБУ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ДИПИ Бакчарского района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7003001661</w:t>
              <w:br/>
              <w:t xml:space="preserve">700301001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дом-интернат для престарелых и инвалидов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стационарная - 138665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граждане пожилого возраста - 14;</w:t>
              <w:br/>
              <w:t xml:space="preserve">инвалиды - 53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285"/>
        </w:trPr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137" w:type="dxa"/>
            <w:vAlign w:val="bottom"/>
            <w:textDirection w:val="lrTb"/>
            <w:noWrap w:val="false"/>
          </w:tcPr>
          <w:p>
            <w:pPr>
              <w:ind w:left="113" w:righ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3. Государственные (муниципальные) организации не относящиеся к системе социального обслуживания (организации социальной защиты)</w:t>
            </w:r>
            <w:r/>
          </w:p>
        </w:tc>
      </w:tr>
      <w:tr>
        <w:tblPrEx/>
        <w:trPr>
          <w:trHeight w:val="31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«ЦСПН по оплате ЖКУ»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7017048469</w:t>
              <w:br/>
              <w:t xml:space="preserve">701700000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по оплате жилого помещения и коммунальных услуг в д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енежной форме отдельным категориям граждан на территории г. Томска (ежемесячных денежных выплат, компенсационных доплат, субсидий на оплату жилого помещения и коммунальных услуг, дополнительных мер социальной поддержки при предоставлении субсидий).</w:t>
              <w:br/>
              <w:t xml:space="preserve">Методич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еское обеспечение и осуществление проверок деятельности уполномоченных учреждений по предоставлению субсидий на оплату жилого помещения и коммунальных услуг и дополнительных мер социальной поддержки при предоставлении субсидий на территории Томской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4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«ЦСПН Кировского района г. Томска»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7017068578</w:t>
              <w:br/>
              <w:t xml:space="preserve"> 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top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(за исключением социальных выплат на оплату ЖКУ);</w:t>
              <w:br/>
              <w:t xml:space="preserve">обслуживание инвалидов легковым автомобильным транспортом (социальное такси);</w:t>
              <w:br/>
              <w:t xml:space="preserve">оформление и выдача удостоверений о праве на льготы;</w:t>
              <w:br/>
              <w:t xml:space="preserve">ор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ганизация и содействие в подготовке 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и др.</w:t>
              <w:br/>
              <w:t xml:space="preserve">реализация социальных программ;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реализация мер социальной поддержки, установленных решением Думы города Томск (в рамках контракта)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45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«ЦСПН Октябрьского района г. Томска»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7017068458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(за исключением социальных выплат на оплату ЖКУ);</w:t>
              <w:br/>
              <w:t xml:space="preserve">обслуживание инвалидов легковым автомобильным транспортом (социальное такси);</w:t>
              <w:br/>
              <w:t xml:space="preserve">оформление и выдача удостоверений о праве на льготы;</w:t>
              <w:br/>
              <w:t xml:space="preserve">ор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ганизация и содействие в подготовке 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и др.</w:t>
              <w:br/>
              <w:t xml:space="preserve">реализация социальных программ;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реализация мер социальной поддержки, установленных решением Думы города Томск (в рамках контракта)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36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«ЦСПН Советского района г. Томска»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7017002707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(за исключением социальных выплат на оплату ЖКУ);</w:t>
              <w:br/>
              <w:t xml:space="preserve">обслуживание инвалидов легковым автомобильным транспортом (социальное такси);</w:t>
              <w:br/>
              <w:t xml:space="preserve">оформление и выдача удостоверений о праве на льготы;</w:t>
              <w:br/>
              <w:t xml:space="preserve">орг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анизация и содействие в подготовке 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и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др.</w:t>
              <w:br/>
              <w:t xml:space="preserve">реализация социальных программ;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реализация мер социальной поддержки, установленных решением Думы города Томск (в рамках контракта).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21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3.5.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«ЦСПН Томского района»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7014044890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(за исключением социальных выплат на оплату ЖКУ);</w:t>
              <w:br/>
              <w:t xml:space="preserve">обслуживание инвалидов легковым автомобильным транспортом (социальное такси);</w:t>
              <w:br/>
              <w:t xml:space="preserve">оформление и выдача удостоверений о праве на льготы;</w:t>
              <w:br/>
              <w:t xml:space="preserve">ор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ганизация и содействие в подготовке 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и др.</w:t>
              <w:br/>
              <w:t xml:space="preserve">реализация социальных программ;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реализация мер социальной поддержки, установленных решением Думы города Томск (в рамках контракта)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425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3.6.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«ЦСПН ЗАТО Северск»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7024021669</w:t>
              <w:br/>
              <w:t xml:space="preserve">702401001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центр социальной поддержки населения</w:t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предоставление мер социальной поддержки (за исключением социальных выплат на оплату ЖКУ);</w:t>
              <w:br/>
              <w:t xml:space="preserve">обслуживание инвалидов легковым автомобильным транспортом (социальное такси);</w:t>
              <w:br/>
              <w:t xml:space="preserve">оформление и выдача удостоверений о праве на льготы;</w:t>
              <w:br/>
              <w:t xml:space="preserve">ор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ганизация и содействие в подготовке документов для направления в стационарные организации социального обслуживания;</w:t>
              <w:br/>
              <w:t xml:space="preserve">участие в проведении мероприятий к памятным и социально значимыми датам; </w:t>
              <w:br/>
              <w:t xml:space="preserve">взаимодействие с общественными организациями инвалидов, ветеранов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и др.</w:t>
              <w:br/>
              <w:t xml:space="preserve">реализация социальных программ;</w:t>
              <w:br/>
              <w:t xml:space="preserve">проведение организационных мероприятий по обеспечению доступности для инвалидов объектов и предоставляемых в них услуг;</w:t>
              <w:br/>
              <w:t xml:space="preserve">реализация мер социальной поддержки, установленных решением Думы города Томск (в рамках контракта)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</w:tr>
      <w:tr>
        <w:tblPrEx/>
        <w:trPr>
          <w:trHeight w:val="48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3.7.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85" w:type="dxa"/>
            <w:vAlign w:val="center"/>
            <w:textDirection w:val="lrTb"/>
            <w:noWrap w:val="false"/>
          </w:tcPr>
          <w:p>
            <w:pPr>
              <w:ind w:left="113"/>
              <w:jc w:val="left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ОГКУ «ИТЦ ТО»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1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7021041547</w:t>
              <w:br/>
              <w:t xml:space="preserve">701701001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3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иные организации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55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63" w:type="dxa"/>
            <w:vAlign w:val="center"/>
            <w:textDirection w:val="lrTb"/>
            <w:noWrap w:val="false"/>
          </w:tcPr>
          <w:p>
            <w:pPr>
              <w:ind w:left="57" w:right="57"/>
              <w:jc w:val="both"/>
              <w:suppressLineNumbers w:val="0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информационное и техническое обеспечение реализа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ции прав отдельных категорий граждан на получение мер социальной поддержки, государственной социальной и материальной помощи, социального обслуживания.</w:t>
              <w:br/>
              <w:t xml:space="preserve">создание и техническое обслуживание компьютерных и IP-телефонных сетей;</w:t>
              <w:br/>
              <w:t xml:space="preserve">разработка и внедрение специализ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ированного программного обеспечения, интернет-ресурсов;</w:t>
              <w:br/>
              <w:t xml:space="preserve">техническое обслуживание и ремонт компьютерной и офисной техники;</w:t>
              <w:br/>
              <w:t xml:space="preserve">осуществление межведомственного информационного обмена;</w:t>
              <w:br/>
              <w:t xml:space="preserve">обслуживание ведомственных и межведомственных информационных систем;</w:t>
              <w:br/>
              <w:t xml:space="preserve">обеспечен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ие безопасности персональных данных при их обработке в ведомственных и межведомственных информационных системах;</w:t>
              <w:br/>
              <w:t xml:space="preserve">осуществление функций оператора, ответственного за проведение независимой оценки качества оказания услуг организациями социального обслуживания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нет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ИТ-обеспечение</w:t>
            </w:r>
            <w:r/>
          </w:p>
        </w:tc>
      </w:tr>
    </w:tbl>
    <w:p>
      <w:pPr>
        <w:pStyle w:val="1026"/>
        <w:ind w:left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sectPr>
      <w:headerReference w:type="default" r:id="rId12"/>
      <w:footerReference w:type="default" r:id="rId14"/>
      <w:footnotePr/>
      <w:endnotePr/>
      <w:type w:val="nextPage"/>
      <w:pgSz w:w="16838" w:h="11906" w:orient="landscape"/>
      <w:pgMar w:top="1134" w:right="567" w:bottom="1134" w:left="1134" w:header="567" w:footer="442" w:gutter="0"/>
      <w:pgNumType w:start="23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 New">
    <w:panose1 w:val="02070309020205020404"/>
  </w:font>
  <w:font w:name="Trebuchet MS">
    <w:panose1 w:val="020B0603020202020204"/>
  </w:font>
  <w:font w:name="Franklin Gothic Heavy">
    <w:panose1 w:val="020B0603020102020204"/>
  </w:font>
  <w:font w:name="PT Astra Serif">
    <w:panose1 w:val="020A0603040505020204"/>
  </w:font>
  <w:font w:name="Arial">
    <w:panose1 w:val="020B0604020202020204"/>
  </w:font>
  <w:font w:name="Book Antiqua">
    <w:panose1 w:val="02040602050305030304"/>
  </w:font>
  <w:font w:name="Tahoma">
    <w:panose1 w:val="020B0604030504040204"/>
  </w:font>
  <w:font w:name="Calibri Light">
    <w:panose1 w:val="020F0302020204030204"/>
  </w:font>
  <w:font w:name="Times New Roman">
    <w:panose1 w:val="020206030504050203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7"/>
      <w:jc w:val="center"/>
    </w:pPr>
    <w:r/>
    <w:r/>
  </w:p>
  <w:p>
    <w:pPr>
      <w:pStyle w:val="1017"/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</w:r>
    <w:r>
      <w:rPr>
        <w:rFonts w:ascii="PT Astra Serif" w:hAnsi="PT Astra Serif"/>
        <w:sz w:val="28"/>
        <w:szCs w:val="28"/>
      </w:rPr>
    </w:r>
    <w:r>
      <w:rPr>
        <w:rFonts w:ascii="PT Astra Serif" w:hAnsi="PT Astra Serif"/>
        <w:sz w:val="28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7"/>
      <w:jc w:val="center"/>
    </w:pPr>
    <w:r/>
    <w:r/>
  </w:p>
  <w:p>
    <w:pPr>
      <w:pStyle w:val="101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32050656"/>
      <w:docPartObj>
        <w:docPartGallery w:val="Page Numbers (Top of Page)"/>
        <w:docPartUnique w:val="true"/>
      </w:docPartObj>
      <w:rPr/>
    </w:sdtPr>
    <w:sdtContent>
      <w:p>
        <w:pPr>
          <w:pStyle w:val="1017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</w:rPr>
          <w:fldChar w:fldCharType="begin"/>
        </w:r>
        <w:r>
          <w:rPr>
            <w:rFonts w:ascii="PT Astra Serif" w:hAnsi="PT Astra Serif"/>
          </w:rPr>
          <w:instrText xml:space="preserve"> PAGE   \* MERGEFORMAT </w:instrText>
        </w:r>
        <w:r>
          <w:rPr>
            <w:rFonts w:ascii="PT Astra Serif" w:hAnsi="PT Astra Serif"/>
          </w:rPr>
          <w:fldChar w:fldCharType="separate"/>
        </w:r>
        <w:r>
          <w:rPr>
            <w:rFonts w:ascii="PT Astra Serif" w:hAnsi="PT Astra Serif"/>
          </w:rPr>
          <w:t xml:space="preserve">19</w:t>
        </w:r>
        <w:r>
          <w:rPr>
            <w:rFonts w:ascii="PT Astra Serif" w:hAnsi="PT Astra Serif"/>
          </w:rPr>
          <w:fldChar w:fldCharType="end"/>
        </w:r>
        <w:r>
          <w:rPr>
            <w:rFonts w:ascii="PT Astra Serif" w:hAnsi="PT Astra Serif"/>
          </w:rPr>
        </w:r>
        <w:r>
          <w:rPr>
            <w:rFonts w:ascii="PT Astra Serif" w:hAnsi="PT Astra Serif"/>
          </w:rPr>
        </w:r>
      </w:p>
    </w:sdtContent>
  </w:sdt>
  <w:p>
    <w:pPr>
      <w:ind w:left="360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32050656"/>
      <w:docPartObj>
        <w:docPartGallery w:val="Page Numbers (Top of Page)"/>
        <w:docPartUnique w:val="true"/>
      </w:docPartObj>
      <w:rPr/>
    </w:sdtPr>
    <w:sdtContent>
      <w:p>
        <w:pPr>
          <w:pStyle w:val="1017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</w:rPr>
          <w:fldChar w:fldCharType="begin"/>
        </w:r>
        <w:r>
          <w:rPr>
            <w:rFonts w:ascii="PT Astra Serif" w:hAnsi="PT Astra Serif"/>
          </w:rPr>
          <w:instrText xml:space="preserve"> PAGE   \* MERGEFORMAT </w:instrText>
        </w:r>
        <w:r>
          <w:rPr>
            <w:rFonts w:ascii="PT Astra Serif" w:hAnsi="PT Astra Serif"/>
          </w:rPr>
          <w:fldChar w:fldCharType="separate"/>
        </w:r>
        <w:r>
          <w:rPr>
            <w:rFonts w:ascii="PT Astra Serif" w:hAnsi="PT Astra Serif"/>
          </w:rPr>
          <w:t xml:space="preserve">19</w:t>
        </w:r>
        <w:r>
          <w:rPr>
            <w:rFonts w:ascii="PT Astra Serif" w:hAnsi="PT Astra Serif"/>
          </w:rPr>
          <w:fldChar w:fldCharType="end"/>
        </w:r>
        <w:r>
          <w:rPr>
            <w:rFonts w:ascii="PT Astra Serif" w:hAnsi="PT Astra Serif"/>
          </w:rPr>
        </w:r>
        <w:r>
          <w:rPr>
            <w:rFonts w:ascii="PT Astra Serif" w:hAnsi="PT Astra Serif"/>
          </w:rPr>
        </w:r>
      </w:p>
    </w:sdtContent>
  </w:sdt>
  <w:p>
    <w:pPr>
      <w:ind w:left="3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157" w:hanging="360"/>
      </w:pPr>
      <w:rPr>
        <w:rFonts w:hint="default" w:ascii="PT Astra Serif" w:hAnsi="PT Astra Serif"/>
        <w:b w:val="0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887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959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031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1103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175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247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319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3917" w:hanging="180"/>
      </w:pPr>
    </w:lvl>
  </w:abstractNum>
  <w:abstractNum w:abstractNumId="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4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2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82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0"/>
  </w:num>
  <w:num w:numId="5">
    <w:abstractNumId w:val="14"/>
  </w:num>
  <w:num w:numId="6">
    <w:abstractNumId w:val="4"/>
  </w:num>
  <w:num w:numId="7">
    <w:abstractNumId w:val="0"/>
  </w:num>
  <w:num w:numId="8">
    <w:abstractNumId w:val="17"/>
  </w:num>
  <w:num w:numId="9">
    <w:abstractNumId w:val="11"/>
  </w:num>
  <w:num w:numId="10">
    <w:abstractNumId w:val="5"/>
  </w:num>
  <w:num w:numId="11">
    <w:abstractNumId w:val="15"/>
  </w:num>
  <w:num w:numId="12">
    <w:abstractNumId w:val="2"/>
  </w:num>
  <w:num w:numId="13">
    <w:abstractNumId w:val="12"/>
  </w:num>
  <w:num w:numId="14">
    <w:abstractNumId w:val="16"/>
  </w:num>
  <w:num w:numId="15">
    <w:abstractNumId w:val="9"/>
  </w:num>
  <w:num w:numId="16">
    <w:abstractNumId w:val="8"/>
  </w:num>
  <w:num w:numId="17">
    <w:abstractNumId w:val="13"/>
  </w:num>
  <w:num w:numId="18">
    <w:abstractNumId w:val="1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39">
    <w:name w:val="Heading 1 Char"/>
    <w:basedOn w:val="1013"/>
    <w:link w:val="101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40">
    <w:name w:val="Heading 2"/>
    <w:basedOn w:val="1011"/>
    <w:next w:val="1011"/>
    <w:link w:val="84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41">
    <w:name w:val="Heading 2 Char"/>
    <w:basedOn w:val="1013"/>
    <w:link w:val="840"/>
    <w:uiPriority w:val="9"/>
    <w:rPr>
      <w:rFonts w:ascii="Liberation Sans" w:hAnsi="Liberation Sans" w:eastAsia="Liberation Sans" w:cs="Liberation Sans"/>
      <w:sz w:val="34"/>
    </w:rPr>
  </w:style>
  <w:style w:type="paragraph" w:styleId="842">
    <w:name w:val="Heading 3"/>
    <w:basedOn w:val="1011"/>
    <w:next w:val="1011"/>
    <w:link w:val="84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43">
    <w:name w:val="Heading 3 Char"/>
    <w:basedOn w:val="1013"/>
    <w:link w:val="84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844">
    <w:name w:val="Heading 4"/>
    <w:basedOn w:val="1011"/>
    <w:next w:val="1011"/>
    <w:link w:val="84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45">
    <w:name w:val="Heading 4 Char"/>
    <w:basedOn w:val="1013"/>
    <w:link w:val="84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46">
    <w:name w:val="Heading 5"/>
    <w:basedOn w:val="1011"/>
    <w:next w:val="1011"/>
    <w:link w:val="84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47">
    <w:name w:val="Heading 5 Char"/>
    <w:basedOn w:val="1013"/>
    <w:link w:val="84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48">
    <w:name w:val="Heading 6"/>
    <w:basedOn w:val="1011"/>
    <w:next w:val="1011"/>
    <w:link w:val="84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49">
    <w:name w:val="Heading 6 Char"/>
    <w:basedOn w:val="1013"/>
    <w:link w:val="84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50">
    <w:name w:val="Heading 7"/>
    <w:basedOn w:val="1011"/>
    <w:next w:val="1011"/>
    <w:link w:val="85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51">
    <w:name w:val="Heading 7 Char"/>
    <w:basedOn w:val="1013"/>
    <w:link w:val="85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52">
    <w:name w:val="Heading 8"/>
    <w:basedOn w:val="1011"/>
    <w:next w:val="1011"/>
    <w:link w:val="85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53">
    <w:name w:val="Heading 8 Char"/>
    <w:basedOn w:val="1013"/>
    <w:link w:val="85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54">
    <w:name w:val="Heading 9"/>
    <w:basedOn w:val="1011"/>
    <w:next w:val="1011"/>
    <w:link w:val="85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55">
    <w:name w:val="Heading 9 Char"/>
    <w:basedOn w:val="1013"/>
    <w:link w:val="85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56">
    <w:name w:val="No Spacing"/>
    <w:uiPriority w:val="1"/>
    <w:qFormat/>
    <w:pPr>
      <w:spacing w:before="0" w:after="0" w:line="240" w:lineRule="auto"/>
    </w:pPr>
  </w:style>
  <w:style w:type="paragraph" w:styleId="857">
    <w:name w:val="Title"/>
    <w:basedOn w:val="1011"/>
    <w:next w:val="1011"/>
    <w:link w:val="85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58">
    <w:name w:val="Title Char"/>
    <w:basedOn w:val="1013"/>
    <w:link w:val="857"/>
    <w:uiPriority w:val="10"/>
    <w:rPr>
      <w:sz w:val="48"/>
      <w:szCs w:val="48"/>
    </w:rPr>
  </w:style>
  <w:style w:type="paragraph" w:styleId="859">
    <w:name w:val="Subtitle"/>
    <w:basedOn w:val="1011"/>
    <w:next w:val="1011"/>
    <w:link w:val="860"/>
    <w:uiPriority w:val="11"/>
    <w:qFormat/>
    <w:pPr>
      <w:spacing w:before="200" w:after="200"/>
    </w:pPr>
    <w:rPr>
      <w:sz w:val="24"/>
      <w:szCs w:val="24"/>
    </w:rPr>
  </w:style>
  <w:style w:type="character" w:styleId="860">
    <w:name w:val="Subtitle Char"/>
    <w:basedOn w:val="1013"/>
    <w:link w:val="859"/>
    <w:uiPriority w:val="11"/>
    <w:rPr>
      <w:sz w:val="24"/>
      <w:szCs w:val="24"/>
    </w:rPr>
  </w:style>
  <w:style w:type="paragraph" w:styleId="861">
    <w:name w:val="Quote"/>
    <w:basedOn w:val="1011"/>
    <w:next w:val="1011"/>
    <w:link w:val="862"/>
    <w:uiPriority w:val="29"/>
    <w:qFormat/>
    <w:pPr>
      <w:ind w:left="720" w:right="720"/>
    </w:pPr>
    <w:rPr>
      <w:i/>
    </w:rPr>
  </w:style>
  <w:style w:type="character" w:styleId="862">
    <w:name w:val="Quote Char"/>
    <w:link w:val="861"/>
    <w:uiPriority w:val="29"/>
    <w:rPr>
      <w:i/>
    </w:rPr>
  </w:style>
  <w:style w:type="paragraph" w:styleId="863">
    <w:name w:val="Intense Quote"/>
    <w:basedOn w:val="1011"/>
    <w:next w:val="1011"/>
    <w:link w:val="86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64">
    <w:name w:val="Intense Quote Char"/>
    <w:link w:val="863"/>
    <w:uiPriority w:val="30"/>
    <w:rPr>
      <w:i/>
    </w:rPr>
  </w:style>
  <w:style w:type="character" w:styleId="865">
    <w:name w:val="Header Char"/>
    <w:basedOn w:val="1013"/>
    <w:link w:val="1017"/>
    <w:uiPriority w:val="99"/>
  </w:style>
  <w:style w:type="character" w:styleId="866">
    <w:name w:val="Footer Char"/>
    <w:basedOn w:val="1013"/>
    <w:link w:val="1022"/>
    <w:uiPriority w:val="99"/>
  </w:style>
  <w:style w:type="paragraph" w:styleId="867">
    <w:name w:val="Caption"/>
    <w:basedOn w:val="1011"/>
    <w:next w:val="1011"/>
    <w:link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68">
    <w:name w:val="Caption Char"/>
    <w:basedOn w:val="1013"/>
    <w:link w:val="867"/>
    <w:uiPriority w:val="35"/>
    <w:rPr>
      <w:b/>
      <w:bCs/>
      <w:color w:val="4f81bd" w:themeColor="accent1"/>
      <w:sz w:val="18"/>
      <w:szCs w:val="18"/>
    </w:rPr>
  </w:style>
  <w:style w:type="table" w:styleId="869">
    <w:name w:val="Table Grid Light"/>
    <w:basedOn w:val="10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0">
    <w:name w:val="Plain Table 1"/>
    <w:basedOn w:val="10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1">
    <w:name w:val="Plain Table 2"/>
    <w:basedOn w:val="10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2">
    <w:name w:val="Plain Table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3">
    <w:name w:val="Plain Table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Plain Table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75">
    <w:name w:val="Grid Table 1 Light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Grid Table 1 Light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Grid Table 1 Light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Grid Table 1 Light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Grid Table 1 Light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Grid Table 1 Light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Grid Table 1 Light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Grid Table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2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2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2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2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2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2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Grid Table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Grid Table 3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Grid Table 3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Grid Table 3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Grid Table 3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Grid Table 3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3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4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97">
    <w:name w:val="Grid Table 4 - Accent 1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98">
    <w:name w:val="Grid Table 4 - Accent 2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99">
    <w:name w:val="Grid Table 4 - Accent 3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900">
    <w:name w:val="Grid Table 4 - Accent 4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901">
    <w:name w:val="Grid Table 4 - Accent 5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02">
    <w:name w:val="Grid Table 4 - Accent 6"/>
    <w:basedOn w:val="10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03">
    <w:name w:val="Grid Table 5 Dark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04">
    <w:name w:val="Grid Table 5 Dark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905">
    <w:name w:val="Grid Table 5 Dark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906">
    <w:name w:val="Grid Table 5 Dark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907">
    <w:name w:val="Grid Table 5 Dark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908">
    <w:name w:val="Grid Table 5 Dark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9">
    <w:name w:val="Grid Table 5 Dark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0">
    <w:name w:val="Grid Table 6 Colorful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11">
    <w:name w:val="Grid Table 6 Colorful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12">
    <w:name w:val="Grid Table 6 Colorful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13">
    <w:name w:val="Grid Table 6 Colorful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14">
    <w:name w:val="Grid Table 6 Colorful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15">
    <w:name w:val="Grid Table 6 Colorful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16">
    <w:name w:val="Grid Table 6 Colorful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17">
    <w:name w:val="Grid Table 7 Colorful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>
    <w:name w:val="Grid Table 7 Colorful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>
    <w:name w:val="Grid Table 7 Colorful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Grid Table 7 Colorful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Grid Table 7 Colorful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>
    <w:name w:val="Grid Table 7 Colorful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>
    <w:name w:val="Grid Table 7 Colorful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>
    <w:name w:val="List Table 1 Light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>
    <w:name w:val="List Table 1 Light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>
    <w:name w:val="List Table 1 Light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List Table 1 Light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>
    <w:name w:val="List Table 1 Light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>
    <w:name w:val="List Table 1 Light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>
    <w:name w:val="List Table 1 Light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>
    <w:name w:val="List Table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32">
    <w:name w:val="List Table 2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33">
    <w:name w:val="List Table 2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34">
    <w:name w:val="List Table 2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35">
    <w:name w:val="List Table 2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36">
    <w:name w:val="List Table 2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37">
    <w:name w:val="List Table 2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38">
    <w:name w:val="List Table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>
    <w:name w:val="List Table 3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>
    <w:name w:val="List Table 3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3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>
    <w:name w:val="List Table 3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>
    <w:name w:val="List Table 3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>
    <w:name w:val="List Table 3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>
    <w:name w:val="List Table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>
    <w:name w:val="List Table 4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List Table 4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>
    <w:name w:val="List Table 4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>
    <w:name w:val="List Table 4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>
    <w:name w:val="List Table 4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>
    <w:name w:val="List Table 4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>
    <w:name w:val="List Table 5 Dark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3">
    <w:name w:val="List Table 5 Dark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4">
    <w:name w:val="List Table 5 Dark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5">
    <w:name w:val="List Table 5 Dark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6">
    <w:name w:val="List Table 5 Dark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7">
    <w:name w:val="List Table 5 Dark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8">
    <w:name w:val="List Table 5 Dark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9">
    <w:name w:val="List Table 6 Colorful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60">
    <w:name w:val="List Table 6 Colorful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61">
    <w:name w:val="List Table 6 Colorful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62">
    <w:name w:val="List Table 6 Colorful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63">
    <w:name w:val="List Table 6 Colorful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64">
    <w:name w:val="List Table 6 Colorful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65">
    <w:name w:val="List Table 6 Colorful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66">
    <w:name w:val="List Table 7 Colorful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67">
    <w:name w:val="List Table 7 Colorful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968">
    <w:name w:val="List Table 7 Colorful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969">
    <w:name w:val="List Table 7 Colorful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970">
    <w:name w:val="List Table 7 Colorful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971">
    <w:name w:val="List Table 7 Colorful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972">
    <w:name w:val="List Table 7 Colorful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973">
    <w:name w:val="Lined - Accent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74">
    <w:name w:val="Lined - Accent 1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75">
    <w:name w:val="Lined - Accent 2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76">
    <w:name w:val="Lined - Accent 3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77">
    <w:name w:val="Lined - Accent 4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78">
    <w:name w:val="Lined - Accent 5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79">
    <w:name w:val="Lined - Accent 6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80">
    <w:name w:val="Bordered &amp; Lined - Accent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81">
    <w:name w:val="Bordered &amp; Lined - Accent 1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82">
    <w:name w:val="Bordered &amp; Lined - Accent 2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83">
    <w:name w:val="Bordered &amp; Lined - Accent 3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84">
    <w:name w:val="Bordered &amp; Lined - Accent 4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85">
    <w:name w:val="Bordered &amp; Lined - Accent 5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86">
    <w:name w:val="Bordered &amp; Lined - Accent 6"/>
    <w:basedOn w:val="10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87">
    <w:name w:val="Bordered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88">
    <w:name w:val="Bordered - Accent 1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89">
    <w:name w:val="Bordered - Accent 2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90">
    <w:name w:val="Bordered - Accent 3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91">
    <w:name w:val="Bordered - Accent 4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92">
    <w:name w:val="Bordered - Accent 5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93">
    <w:name w:val="Bordered - Accent 6"/>
    <w:basedOn w:val="10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94">
    <w:name w:val="footnote text"/>
    <w:basedOn w:val="1011"/>
    <w:link w:val="995"/>
    <w:uiPriority w:val="99"/>
    <w:semiHidden/>
    <w:unhideWhenUsed/>
    <w:pPr>
      <w:spacing w:after="40" w:line="240" w:lineRule="auto"/>
    </w:pPr>
    <w:rPr>
      <w:sz w:val="18"/>
    </w:rPr>
  </w:style>
  <w:style w:type="character" w:styleId="995">
    <w:name w:val="Footnote Text Char"/>
    <w:link w:val="994"/>
    <w:uiPriority w:val="99"/>
    <w:rPr>
      <w:sz w:val="18"/>
    </w:rPr>
  </w:style>
  <w:style w:type="character" w:styleId="996">
    <w:name w:val="footnote reference"/>
    <w:basedOn w:val="1013"/>
    <w:uiPriority w:val="99"/>
    <w:unhideWhenUsed/>
    <w:rPr>
      <w:vertAlign w:val="superscript"/>
    </w:rPr>
  </w:style>
  <w:style w:type="paragraph" w:styleId="997">
    <w:name w:val="endnote text"/>
    <w:basedOn w:val="1011"/>
    <w:link w:val="998"/>
    <w:uiPriority w:val="99"/>
    <w:semiHidden/>
    <w:unhideWhenUsed/>
    <w:pPr>
      <w:spacing w:after="0" w:line="240" w:lineRule="auto"/>
    </w:pPr>
    <w:rPr>
      <w:sz w:val="20"/>
    </w:rPr>
  </w:style>
  <w:style w:type="character" w:styleId="998">
    <w:name w:val="Endnote Text Char"/>
    <w:link w:val="997"/>
    <w:uiPriority w:val="99"/>
    <w:rPr>
      <w:sz w:val="20"/>
    </w:rPr>
  </w:style>
  <w:style w:type="character" w:styleId="999">
    <w:name w:val="endnote reference"/>
    <w:basedOn w:val="1013"/>
    <w:uiPriority w:val="99"/>
    <w:semiHidden/>
    <w:unhideWhenUsed/>
    <w:rPr>
      <w:vertAlign w:val="superscript"/>
    </w:rPr>
  </w:style>
  <w:style w:type="paragraph" w:styleId="1000">
    <w:name w:val="toc 1"/>
    <w:basedOn w:val="1011"/>
    <w:next w:val="1011"/>
    <w:uiPriority w:val="39"/>
    <w:unhideWhenUsed/>
    <w:pPr>
      <w:ind w:left="0" w:right="0" w:firstLine="0"/>
      <w:spacing w:after="57"/>
    </w:pPr>
  </w:style>
  <w:style w:type="paragraph" w:styleId="1001">
    <w:name w:val="toc 2"/>
    <w:basedOn w:val="1011"/>
    <w:next w:val="1011"/>
    <w:uiPriority w:val="39"/>
    <w:unhideWhenUsed/>
    <w:pPr>
      <w:ind w:left="283" w:right="0" w:firstLine="0"/>
      <w:spacing w:after="57"/>
    </w:pPr>
  </w:style>
  <w:style w:type="paragraph" w:styleId="1002">
    <w:name w:val="toc 3"/>
    <w:basedOn w:val="1011"/>
    <w:next w:val="1011"/>
    <w:uiPriority w:val="39"/>
    <w:unhideWhenUsed/>
    <w:pPr>
      <w:ind w:left="567" w:right="0" w:firstLine="0"/>
      <w:spacing w:after="57"/>
    </w:pPr>
  </w:style>
  <w:style w:type="paragraph" w:styleId="1003">
    <w:name w:val="toc 4"/>
    <w:basedOn w:val="1011"/>
    <w:next w:val="1011"/>
    <w:uiPriority w:val="39"/>
    <w:unhideWhenUsed/>
    <w:pPr>
      <w:ind w:left="850" w:right="0" w:firstLine="0"/>
      <w:spacing w:after="57"/>
    </w:pPr>
  </w:style>
  <w:style w:type="paragraph" w:styleId="1004">
    <w:name w:val="toc 5"/>
    <w:basedOn w:val="1011"/>
    <w:next w:val="1011"/>
    <w:uiPriority w:val="39"/>
    <w:unhideWhenUsed/>
    <w:pPr>
      <w:ind w:left="1134" w:right="0" w:firstLine="0"/>
      <w:spacing w:after="57"/>
    </w:pPr>
  </w:style>
  <w:style w:type="paragraph" w:styleId="1005">
    <w:name w:val="toc 6"/>
    <w:basedOn w:val="1011"/>
    <w:next w:val="1011"/>
    <w:uiPriority w:val="39"/>
    <w:unhideWhenUsed/>
    <w:pPr>
      <w:ind w:left="1417" w:right="0" w:firstLine="0"/>
      <w:spacing w:after="57"/>
    </w:pPr>
  </w:style>
  <w:style w:type="paragraph" w:styleId="1006">
    <w:name w:val="toc 7"/>
    <w:basedOn w:val="1011"/>
    <w:next w:val="1011"/>
    <w:uiPriority w:val="39"/>
    <w:unhideWhenUsed/>
    <w:pPr>
      <w:ind w:left="1701" w:right="0" w:firstLine="0"/>
      <w:spacing w:after="57"/>
    </w:pPr>
  </w:style>
  <w:style w:type="paragraph" w:styleId="1007">
    <w:name w:val="toc 8"/>
    <w:basedOn w:val="1011"/>
    <w:next w:val="1011"/>
    <w:uiPriority w:val="39"/>
    <w:unhideWhenUsed/>
    <w:pPr>
      <w:ind w:left="1984" w:right="0" w:firstLine="0"/>
      <w:spacing w:after="57"/>
    </w:pPr>
  </w:style>
  <w:style w:type="paragraph" w:styleId="1008">
    <w:name w:val="toc 9"/>
    <w:basedOn w:val="1011"/>
    <w:next w:val="1011"/>
    <w:uiPriority w:val="39"/>
    <w:unhideWhenUsed/>
    <w:pPr>
      <w:ind w:left="2268" w:right="0" w:firstLine="0"/>
      <w:spacing w:after="57"/>
    </w:pPr>
  </w:style>
  <w:style w:type="paragraph" w:styleId="1009">
    <w:name w:val="TOC Heading"/>
    <w:uiPriority w:val="39"/>
    <w:unhideWhenUsed/>
  </w:style>
  <w:style w:type="paragraph" w:styleId="1010">
    <w:name w:val="table of figures"/>
    <w:basedOn w:val="1011"/>
    <w:next w:val="1011"/>
    <w:uiPriority w:val="99"/>
    <w:unhideWhenUsed/>
    <w:pPr>
      <w:spacing w:after="0" w:afterAutospacing="0"/>
    </w:pPr>
  </w:style>
  <w:style w:type="paragraph" w:styleId="101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2">
    <w:name w:val="Heading 1"/>
    <w:basedOn w:val="1011"/>
    <w:next w:val="1011"/>
    <w:link w:val="1016"/>
    <w:qFormat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character" w:styleId="1013" w:default="1">
    <w:name w:val="Default Paragraph Font"/>
    <w:uiPriority w:val="1"/>
    <w:unhideWhenUsed/>
  </w:style>
  <w:style w:type="table" w:styleId="10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15" w:default="1">
    <w:name w:val="No List"/>
    <w:uiPriority w:val="99"/>
    <w:semiHidden/>
    <w:unhideWhenUsed/>
  </w:style>
  <w:style w:type="character" w:styleId="1016" w:customStyle="1">
    <w:name w:val="Заголовок 1 Знак"/>
    <w:basedOn w:val="1013"/>
    <w:link w:val="1012"/>
    <w:rPr>
      <w:rFonts w:ascii="Calibri Light" w:hAnsi="Calibri Light" w:eastAsia="Times New Roman" w:cs="Times New Roman"/>
      <w:b/>
      <w:bCs/>
      <w:sz w:val="32"/>
      <w:szCs w:val="32"/>
    </w:rPr>
  </w:style>
  <w:style w:type="paragraph" w:styleId="1017">
    <w:name w:val="Header"/>
    <w:basedOn w:val="1011"/>
    <w:link w:val="1018"/>
    <w:uiPriority w:val="99"/>
    <w:pPr>
      <w:tabs>
        <w:tab w:val="center" w:pos="4677" w:leader="none"/>
        <w:tab w:val="right" w:pos="9355" w:leader="none"/>
      </w:tabs>
    </w:pPr>
  </w:style>
  <w:style w:type="character" w:styleId="1018" w:customStyle="1">
    <w:name w:val="Верхний колонтитул Знак"/>
    <w:basedOn w:val="1013"/>
    <w:link w:val="1017"/>
    <w:uiPriority w:val="99"/>
    <w:rPr>
      <w:rFonts w:ascii="Times New Roman" w:hAnsi="Times New Roman" w:eastAsia="Times New Roman" w:cs="Times New Roman"/>
      <w:sz w:val="24"/>
      <w:szCs w:val="24"/>
    </w:rPr>
  </w:style>
  <w:style w:type="paragraph" w:styleId="1019">
    <w:name w:val="Balloon Text"/>
    <w:basedOn w:val="1011"/>
    <w:link w:val="1020"/>
    <w:unhideWhenUsed/>
    <w:rPr>
      <w:rFonts w:ascii="Tahoma" w:hAnsi="Tahoma" w:cs="Tahoma"/>
      <w:sz w:val="16"/>
      <w:szCs w:val="16"/>
    </w:rPr>
  </w:style>
  <w:style w:type="character" w:styleId="1020" w:customStyle="1">
    <w:name w:val="Текст выноски Знак"/>
    <w:basedOn w:val="1013"/>
    <w:link w:val="1019"/>
    <w:rPr>
      <w:rFonts w:ascii="Tahoma" w:hAnsi="Tahoma" w:eastAsia="Times New Roman" w:cs="Tahoma"/>
      <w:sz w:val="16"/>
      <w:szCs w:val="16"/>
      <w:lang w:eastAsia="ru-RU"/>
    </w:rPr>
  </w:style>
  <w:style w:type="table" w:styleId="1021">
    <w:name w:val="Table Grid"/>
    <w:basedOn w:val="1014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22">
    <w:name w:val="Footer"/>
    <w:basedOn w:val="1011"/>
    <w:link w:val="1023"/>
    <w:uiPriority w:val="99"/>
    <w:pPr>
      <w:tabs>
        <w:tab w:val="center" w:pos="4677" w:leader="none"/>
        <w:tab w:val="right" w:pos="9355" w:leader="none"/>
      </w:tabs>
    </w:pPr>
  </w:style>
  <w:style w:type="character" w:styleId="1023" w:customStyle="1">
    <w:name w:val="Нижний колонтитул Знак"/>
    <w:basedOn w:val="1013"/>
    <w:link w:val="1022"/>
    <w:uiPriority w:val="99"/>
    <w:rPr>
      <w:rFonts w:ascii="Times New Roman" w:hAnsi="Times New Roman" w:eastAsia="Times New Roman" w:cs="Times New Roman"/>
      <w:sz w:val="24"/>
      <w:szCs w:val="24"/>
    </w:rPr>
  </w:style>
  <w:style w:type="paragraph" w:styleId="1024">
    <w:name w:val="Body Text Indent"/>
    <w:basedOn w:val="1011"/>
    <w:link w:val="1025"/>
    <w:pPr>
      <w:ind w:firstLine="600"/>
      <w:jc w:val="both"/>
    </w:pPr>
    <w:rPr>
      <w:sz w:val="28"/>
    </w:rPr>
  </w:style>
  <w:style w:type="character" w:styleId="1025" w:customStyle="1">
    <w:name w:val="Основной текст с отступом Знак"/>
    <w:basedOn w:val="1013"/>
    <w:link w:val="1024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1026">
    <w:name w:val="List Paragraph"/>
    <w:basedOn w:val="1011"/>
    <w:link w:val="1027"/>
    <w:uiPriority w:val="34"/>
    <w:qFormat/>
    <w:pPr>
      <w:contextualSpacing/>
      <w:ind w:left="720"/>
    </w:pPr>
  </w:style>
  <w:style w:type="character" w:styleId="1027" w:customStyle="1">
    <w:name w:val="Абзац списка Знак"/>
    <w:link w:val="1026"/>
    <w:uiPriority w:val="3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28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1029">
    <w:name w:val="Hyperlink"/>
    <w:uiPriority w:val="99"/>
    <w:rPr>
      <w:color w:val="0563c1"/>
      <w:u w:val="single"/>
    </w:rPr>
  </w:style>
  <w:style w:type="paragraph" w:styleId="1030" w:customStyle="1">
    <w:name w:val="Знак Знак Знак Знак Знак Знак Знак Знак Знак Знак Знак Знак Знак Знак Знак Знак Знак Знак"/>
    <w:basedOn w:val="1011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character" w:styleId="1031" w:customStyle="1">
    <w:name w:val="apple-style-span"/>
  </w:style>
  <w:style w:type="character" w:styleId="1032" w:customStyle="1">
    <w:name w:val="apple-converted-space"/>
  </w:style>
  <w:style w:type="paragraph" w:styleId="1033">
    <w:name w:val="Normal (Web)"/>
    <w:basedOn w:val="1011"/>
    <w:uiPriority w:val="99"/>
    <w:unhideWhenUsed/>
    <w:pPr>
      <w:spacing w:before="100" w:beforeAutospacing="1" w:after="100" w:afterAutospacing="1"/>
    </w:pPr>
  </w:style>
  <w:style w:type="character" w:styleId="1034" w:customStyle="1">
    <w:name w:val="Основной текст (2)_"/>
    <w:link w:val="1035"/>
    <w:rPr>
      <w:sz w:val="28"/>
      <w:szCs w:val="28"/>
      <w:shd w:val="clear" w:color="auto" w:fill="ffffff"/>
    </w:rPr>
  </w:style>
  <w:style w:type="paragraph" w:styleId="1035" w:customStyle="1">
    <w:name w:val="Основной текст (2)"/>
    <w:basedOn w:val="1011"/>
    <w:link w:val="1034"/>
    <w:pPr>
      <w:jc w:val="both"/>
      <w:spacing w:before="1380" w:line="326" w:lineRule="exact"/>
      <w:shd w:val="clear" w:color="auto" w:fill="ffffff"/>
      <w:widowControl w:val="off"/>
    </w:pPr>
    <w:rPr>
      <w:rFonts w:asciiTheme="minorHAnsi" w:hAnsiTheme="minorHAnsi" w:eastAsiaTheme="minorHAnsi" w:cstheme="minorBidi"/>
      <w:sz w:val="28"/>
      <w:szCs w:val="28"/>
      <w:lang w:eastAsia="en-US"/>
    </w:rPr>
  </w:style>
  <w:style w:type="character" w:styleId="1036" w:customStyle="1">
    <w:name w:val="Основной текст (7)_"/>
    <w:link w:val="1037"/>
    <w:rPr>
      <w:b/>
      <w:bCs/>
      <w:sz w:val="28"/>
      <w:szCs w:val="28"/>
      <w:shd w:val="clear" w:color="auto" w:fill="ffffff"/>
    </w:rPr>
  </w:style>
  <w:style w:type="paragraph" w:styleId="1037" w:customStyle="1">
    <w:name w:val="Основной текст (7)"/>
    <w:basedOn w:val="1011"/>
    <w:link w:val="1036"/>
    <w:pPr>
      <w:spacing w:after="360" w:line="326" w:lineRule="exact"/>
      <w:shd w:val="clear" w:color="auto" w:fill="ffffff"/>
      <w:widowControl w:val="off"/>
    </w:pPr>
    <w:rPr>
      <w:rFonts w:asciiTheme="minorHAnsi" w:hAnsiTheme="minorHAnsi" w:eastAsiaTheme="minorHAnsi" w:cstheme="minorBidi"/>
      <w:b/>
      <w:bCs/>
      <w:sz w:val="28"/>
      <w:szCs w:val="28"/>
      <w:lang w:eastAsia="en-US"/>
    </w:rPr>
  </w:style>
  <w:style w:type="character" w:styleId="1038" w:customStyle="1">
    <w:name w:val="Основной текст (7) + Не полужирный"/>
    <w:rPr>
      <w:b/>
      <w:bCs/>
      <w:color w:val="000000"/>
      <w:spacing w:val="0"/>
      <w:position w:val="0"/>
      <w:sz w:val="28"/>
      <w:szCs w:val="28"/>
      <w:shd w:val="clear" w:color="auto" w:fill="ffffff"/>
      <w:lang w:val="ru-RU" w:eastAsia="ru-RU" w:bidi="ru-RU"/>
    </w:rPr>
  </w:style>
  <w:style w:type="paragraph" w:styleId="1039" w:customStyle="1">
    <w:name w:val="ConsPlusNormal"/>
    <w:pPr>
      <w:spacing w:after="0" w:line="240" w:lineRule="auto"/>
    </w:pPr>
    <w:rPr>
      <w:rFonts w:ascii="Arial" w:hAnsi="Arial" w:eastAsia="Times New Roman" w:cs="Arial"/>
      <w:sz w:val="20"/>
      <w:szCs w:val="20"/>
      <w:lang w:eastAsia="ru-RU"/>
    </w:rPr>
  </w:style>
  <w:style w:type="character" w:styleId="1040" w:customStyle="1">
    <w:name w:val="Колонтитул_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styleId="1041" w:customStyle="1">
    <w:name w:val="Колонтитул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5"/>
      <w:szCs w:val="15"/>
      <w:u w:val="none"/>
      <w:lang w:val="ru-RU" w:eastAsia="ru-RU" w:bidi="ru-RU"/>
    </w:rPr>
  </w:style>
  <w:style w:type="character" w:styleId="1042" w:customStyle="1">
    <w:name w:val="Колонтитул + Book Antiqua;4;5 pt;Курсив"/>
    <w:rPr>
      <w:rFonts w:ascii="Book Antiqua" w:hAnsi="Book Antiqua" w:eastAsia="Book Antiqua" w:cs="Book Antiqua"/>
      <w:b w:val="0"/>
      <w:bCs w:val="0"/>
      <w:i/>
      <w:iCs/>
      <w:smallCaps w:val="0"/>
      <w:strike w:val="0"/>
      <w:color w:val="000000"/>
      <w:spacing w:val="0"/>
      <w:position w:val="0"/>
      <w:sz w:val="9"/>
      <w:szCs w:val="9"/>
      <w:u w:val="none"/>
      <w:lang w:val="ru-RU" w:eastAsia="ru-RU" w:bidi="ru-RU"/>
    </w:rPr>
  </w:style>
  <w:style w:type="character" w:styleId="1043" w:customStyle="1">
    <w:name w:val="Колонтитул + Franklin Gothic Heavy;10 pt;Курсив"/>
    <w:rPr>
      <w:rFonts w:ascii="Franklin Gothic Heavy" w:hAnsi="Franklin Gothic Heavy" w:eastAsia="Franklin Gothic Heavy" w:cs="Franklin Gothic Heavy"/>
      <w:b w:val="0"/>
      <w:bCs w:val="0"/>
      <w:i/>
      <w:iCs/>
      <w:smallCaps w:val="0"/>
      <w:strike w:val="0"/>
      <w:color w:val="000000"/>
      <w:spacing w:val="0"/>
      <w:position w:val="0"/>
      <w:sz w:val="20"/>
      <w:szCs w:val="20"/>
      <w:u w:val="none"/>
      <w:lang w:val="en-US" w:eastAsia="en-US" w:bidi="en-US"/>
    </w:rPr>
  </w:style>
  <w:style w:type="character" w:styleId="1044" w:customStyle="1">
    <w:name w:val="Колонтитул + Trebuchet MS;10;5 pt;Курсив"/>
    <w:rPr>
      <w:rFonts w:ascii="Trebuchet MS" w:hAnsi="Trebuchet MS" w:eastAsia="Trebuchet MS" w:cs="Trebuchet MS"/>
      <w:b/>
      <w:bCs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en-US" w:eastAsia="en-US" w:bidi="en-US"/>
    </w:rPr>
  </w:style>
  <w:style w:type="character" w:styleId="1045" w:customStyle="1">
    <w:name w:val="Колонтитул + 11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styleId="1046" w:customStyle="1">
    <w:name w:val="Колонтитул + 5;5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character" w:styleId="1047" w:customStyle="1">
    <w:name w:val="Заголовок №3_"/>
    <w:link w:val="1048"/>
    <w:rPr>
      <w:b/>
      <w:bCs/>
      <w:sz w:val="28"/>
      <w:szCs w:val="28"/>
      <w:shd w:val="clear" w:color="auto" w:fill="ffffff"/>
    </w:rPr>
  </w:style>
  <w:style w:type="paragraph" w:styleId="1048" w:customStyle="1">
    <w:name w:val="Заголовок №3"/>
    <w:basedOn w:val="1011"/>
    <w:link w:val="1047"/>
    <w:pPr>
      <w:ind w:hanging="800"/>
      <w:spacing w:before="300" w:line="322" w:lineRule="exact"/>
      <w:shd w:val="clear" w:color="auto" w:fill="ffffff"/>
      <w:widowControl w:val="off"/>
      <w:outlineLvl w:val="2"/>
    </w:pPr>
    <w:rPr>
      <w:rFonts w:asciiTheme="minorHAnsi" w:hAnsiTheme="minorHAnsi" w:eastAsiaTheme="minorHAnsi" w:cstheme="minorBidi"/>
      <w:b/>
      <w:bCs/>
      <w:sz w:val="28"/>
      <w:szCs w:val="28"/>
      <w:lang w:eastAsia="en-US"/>
    </w:rPr>
  </w:style>
  <w:style w:type="character" w:styleId="1049" w:customStyle="1">
    <w:name w:val="Основной текст (9)_"/>
    <w:link w:val="1050"/>
    <w:rPr>
      <w:b/>
      <w:bCs/>
      <w:sz w:val="21"/>
      <w:szCs w:val="21"/>
      <w:shd w:val="clear" w:color="auto" w:fill="ffffff"/>
    </w:rPr>
  </w:style>
  <w:style w:type="paragraph" w:styleId="1050" w:customStyle="1">
    <w:name w:val="Основной текст (9)"/>
    <w:basedOn w:val="1011"/>
    <w:link w:val="1049"/>
    <w:pPr>
      <w:jc w:val="center"/>
      <w:spacing w:line="281" w:lineRule="exact"/>
      <w:shd w:val="clear" w:color="auto" w:fill="ffffff"/>
      <w:widowControl w:val="off"/>
    </w:pPr>
    <w:rPr>
      <w:rFonts w:asciiTheme="minorHAnsi" w:hAnsiTheme="minorHAnsi" w:eastAsiaTheme="minorHAnsi" w:cstheme="minorBidi"/>
      <w:b/>
      <w:bCs/>
      <w:sz w:val="21"/>
      <w:szCs w:val="21"/>
      <w:lang w:eastAsia="en-US"/>
    </w:rPr>
  </w:style>
  <w:style w:type="character" w:styleId="1051" w:customStyle="1">
    <w:name w:val="Основной текст (2) + 8;5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1052">
    <w:name w:val="page number"/>
    <w:basedOn w:val="1013"/>
  </w:style>
  <w:style w:type="paragraph" w:styleId="1053">
    <w:name w:val="Body Text 3"/>
    <w:basedOn w:val="1011"/>
    <w:link w:val="1054"/>
    <w:uiPriority w:val="99"/>
    <w:semiHidden/>
    <w:unhideWhenUsed/>
    <w:pPr>
      <w:spacing w:after="120"/>
    </w:pPr>
    <w:rPr>
      <w:sz w:val="16"/>
      <w:szCs w:val="16"/>
    </w:rPr>
  </w:style>
  <w:style w:type="character" w:styleId="1054" w:customStyle="1">
    <w:name w:val="Основной текст 3 Знак"/>
    <w:basedOn w:val="1013"/>
    <w:link w:val="1053"/>
    <w:uiPriority w:val="99"/>
    <w:semiHidden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ygm</cp:lastModifiedBy>
  <cp:revision>33</cp:revision>
  <dcterms:created xsi:type="dcterms:W3CDTF">2026-06-04T10:31:00Z</dcterms:created>
  <dcterms:modified xsi:type="dcterms:W3CDTF">2026-08-19T07:37:25Z</dcterms:modified>
</cp:coreProperties>
</file>