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7D07B0">
        <w:tc>
          <w:tcPr>
            <w:tcW w:w="1701" w:type="dxa"/>
            <w:tcBorders>
              <w:bottom w:val="none" w:sz="4" w:space="0" w:color="000000"/>
            </w:tcBorders>
          </w:tcPr>
          <w:p w:rsidR="007D07B0" w:rsidRPr="00A015DB" w:rsidRDefault="00027D6B" w:rsidP="00027D6B">
            <w:pPr>
              <w:pStyle w:val="24"/>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6"/>
                <w:szCs w:val="26"/>
              </w:rPr>
            </w:pPr>
            <w:bookmarkStart w:id="0" w:name="РегДанные"/>
            <w:r>
              <w:rPr>
                <w:rFonts w:ascii="PT Astra Serif" w:eastAsia="PT Astra Serif" w:hAnsi="PT Astra Serif" w:cs="PT Astra Serif"/>
                <w:spacing w:val="20"/>
                <w:sz w:val="26"/>
                <w:szCs w:val="26"/>
              </w:rPr>
              <w:t>25.09.2023</w:t>
            </w:r>
            <w:r w:rsidR="00343736" w:rsidRPr="00A015DB">
              <w:rPr>
                <w:rFonts w:ascii="PT Astra Serif" w:eastAsia="PT Astra Serif" w:hAnsi="PT Astra Serif" w:cs="PT Astra Serif"/>
                <w:spacing w:val="20"/>
                <w:sz w:val="26"/>
                <w:szCs w:val="26"/>
              </w:rPr>
              <w:fldChar w:fldCharType="begin"/>
            </w:r>
            <w:r w:rsidR="00343736" w:rsidRPr="00A015DB">
              <w:rPr>
                <w:rFonts w:ascii="PT Astra Serif" w:eastAsia="PT Astra Serif" w:hAnsi="PT Astra Serif" w:cs="PT Astra Serif"/>
                <w:spacing w:val="20"/>
                <w:sz w:val="26"/>
                <w:szCs w:val="26"/>
              </w:rPr>
              <w:instrText xml:space="preserve"> FORMTEXT </w:instrText>
            </w:r>
            <w:r w:rsidR="00343736" w:rsidRPr="00A015DB">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7D07B0" w:rsidRPr="00A015DB" w:rsidRDefault="007D07B0">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7D07B0" w:rsidRPr="00A015DB" w:rsidRDefault="00343736" w:rsidP="00E95B60">
            <w:pPr>
              <w:pStyle w:val="24"/>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1" w:name="РегНомер"/>
            <w:r w:rsidRPr="00A015DB">
              <w:rPr>
                <w:rFonts w:ascii="PT Astra Serif" w:eastAsia="PT Astra Serif" w:hAnsi="PT Astra Serif" w:cs="PT Astra Serif"/>
                <w:sz w:val="26"/>
                <w:szCs w:val="26"/>
              </w:rPr>
              <w:t>№</w:t>
            </w:r>
            <w:r w:rsidRPr="00A015DB">
              <w:rPr>
                <w:rFonts w:ascii="PT Astra Serif" w:eastAsia="PT Astra Serif" w:hAnsi="PT Astra Serif" w:cs="PT Astra Serif"/>
                <w:sz w:val="26"/>
                <w:szCs w:val="26"/>
                <w:lang w:val="en-US"/>
              </w:rPr>
              <w:t xml:space="preserve"> </w:t>
            </w:r>
            <w:bookmarkStart w:id="2" w:name="_GoBack"/>
            <w:bookmarkEnd w:id="2"/>
            <w:r w:rsidR="00E95B60">
              <w:rPr>
                <w:rFonts w:ascii="PT Astra Serif" w:eastAsia="PT Astra Serif" w:hAnsi="PT Astra Serif" w:cs="PT Astra Serif"/>
                <w:sz w:val="26"/>
                <w:szCs w:val="26"/>
                <w:lang w:val="en-US"/>
              </w:rPr>
              <w:t>11-п</w:t>
            </w:r>
            <w:r w:rsidRPr="00A015DB">
              <w:rPr>
                <w:rFonts w:ascii="PT Astra Serif" w:eastAsia="PT Astra Serif" w:hAnsi="PT Astra Serif" w:cs="PT Astra Serif"/>
                <w:spacing w:val="20"/>
                <w:sz w:val="26"/>
                <w:szCs w:val="26"/>
              </w:rPr>
              <w:fldChar w:fldCharType="begin"/>
            </w:r>
            <w:r w:rsidRPr="00A015DB">
              <w:rPr>
                <w:rFonts w:ascii="PT Astra Serif" w:eastAsia="PT Astra Serif" w:hAnsi="PT Astra Serif" w:cs="PT Astra Serif"/>
                <w:spacing w:val="20"/>
                <w:sz w:val="26"/>
                <w:szCs w:val="26"/>
              </w:rPr>
              <w:instrText xml:space="preserve"> FORMTEXT </w:instrText>
            </w:r>
            <w:r w:rsidRPr="00A015DB">
              <w:rPr>
                <w:rFonts w:ascii="PT Astra Serif" w:eastAsia="PT Astra Serif" w:hAnsi="PT Astra Serif" w:cs="PT Astra Serif"/>
                <w:spacing w:val="20"/>
                <w:sz w:val="26"/>
                <w:szCs w:val="26"/>
              </w:rPr>
              <w:fldChar w:fldCharType="separate"/>
            </w:r>
            <w:r w:rsidRPr="00A015DB">
              <w:rPr>
                <w:rFonts w:ascii="PT Astra Serif" w:eastAsia="PT Astra Serif" w:hAnsi="PT Astra Serif" w:cs="PT Astra Serif"/>
                <w:spacing w:val="20"/>
                <w:sz w:val="26"/>
                <w:szCs w:val="26"/>
              </w:rPr>
              <w:fldChar w:fldCharType="end"/>
            </w:r>
            <w:bookmarkEnd w:id="1"/>
          </w:p>
        </w:tc>
      </w:tr>
    </w:tbl>
    <w:p w:rsidR="007D07B0" w:rsidRPr="00A015DB" w:rsidRDefault="003A6AAE">
      <w:pPr>
        <w:pStyle w:val="ConsPlusNormal"/>
        <w:spacing w:before="480"/>
        <w:jc w:val="center"/>
        <w:rPr>
          <w:rFonts w:ascii="PT Astra Serif" w:hAnsi="PT Astra Serif" w:cs="Times New Roman"/>
          <w:sz w:val="26"/>
          <w:szCs w:val="26"/>
        </w:rPr>
      </w:pPr>
      <w:r w:rsidRPr="00A015DB">
        <w:rPr>
          <w:rFonts w:ascii="PT Astra Serif" w:hAnsi="PT Astra Serif" w:cs="Times New Roman"/>
          <w:sz w:val="26"/>
          <w:szCs w:val="26"/>
        </w:rPr>
        <w:t>О внесении изменений в приказ Департамента государственного заказа Томской области от 18.11.2021 № 20-п</w:t>
      </w:r>
      <w:r w:rsidR="00343736" w:rsidRPr="00A015DB">
        <w:rPr>
          <w:rFonts w:ascii="PT Astra Serif" w:hAnsi="PT Astra Serif" w:cs="Times New Roman"/>
          <w:sz w:val="26"/>
          <w:szCs w:val="26"/>
        </w:rPr>
        <w:t xml:space="preserve"> </w:t>
      </w:r>
    </w:p>
    <w:p w:rsidR="007D07B0" w:rsidRDefault="007D07B0">
      <w:pPr>
        <w:pStyle w:val="ConsPlusNormal"/>
        <w:ind w:firstLine="540"/>
        <w:jc w:val="both"/>
        <w:rPr>
          <w:rFonts w:ascii="PT Astra Serif" w:hAnsi="PT Astra Serif" w:cs="Times New Roman"/>
          <w:sz w:val="28"/>
          <w:szCs w:val="28"/>
        </w:rPr>
      </w:pPr>
    </w:p>
    <w:p w:rsidR="007D07B0" w:rsidRDefault="007D07B0">
      <w:pPr>
        <w:pStyle w:val="ConsPlusNormal"/>
        <w:ind w:firstLine="540"/>
        <w:jc w:val="both"/>
        <w:rPr>
          <w:rFonts w:ascii="PT Astra Serif" w:hAnsi="PT Astra Serif" w:cs="Times New Roman"/>
          <w:sz w:val="28"/>
          <w:szCs w:val="28"/>
        </w:rPr>
      </w:pP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tabs>
          <w:tab w:val="left" w:pos="7962"/>
        </w:tabs>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В целях совершенствования нормативного правового акта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ПРИКАЗЫВАЮ:</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 xml:space="preserve">Внести в приказ Департамента государственного заказа Томской области от 18.11.2021 № 20-п «Об утверждении типового контракта на оказание услуг по предоставлению кредитов (с возобновляемой кредитной линией с плавающей процентной ставкой и периодом выборки)» (Официальный интернет-портал правовой информации www.pravo.gov.ru, 19.11.2021, № 7001202111190012) следующие изменения: </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в типовом контракте на оказание услуг по предоставлению кредитов (с возобновляемой кредитной линией с плавающей процентной ставкой и периодом выборки), утвержденном указанным приказом:</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1) пункт 3.1 изложить в следующей редакции: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«3.1. Максимальное значение цены Контракта составляет _____ (_____) рублей (налогом на добавленную стоимость не облагается на основании _____ Налогового кодекса Российской Федерации и _____)</w:t>
      </w:r>
      <w:r w:rsidRPr="003A6AAE">
        <w:rPr>
          <w:rFonts w:ascii="PT Astra Serif" w:hAnsi="PT Astra Serif"/>
          <w:sz w:val="26"/>
          <w:szCs w:val="26"/>
          <w:vertAlign w:val="superscript"/>
          <w:lang w:eastAsia="ru-RU" w:bidi="ar-SA"/>
        </w:rPr>
        <w:t>8</w:t>
      </w:r>
      <w:r w:rsidRPr="003A6AAE">
        <w:rPr>
          <w:rFonts w:ascii="PT Astra Serif" w:hAnsi="PT Astra Serif"/>
          <w:sz w:val="26"/>
          <w:szCs w:val="26"/>
          <w:lang w:eastAsia="ru-RU" w:bidi="ar-SA"/>
        </w:rPr>
        <w:t xml:space="preserve"> при объеме Кредитов, равном объему Лимита единовременной задолженности, установленному пунктом 2.1 Контракта, и сроке пользования Кредитами, равном сроку действия Кредитной линии, установленному пунктом 2.3.1 Контракта.»;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2) пункт 3.2 изложить в следующей редакции: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«3.2. Формула цены включает в себя сумму значений за каждый календарный день пользования кредитом за период с даты первой выдачи кредита (не включая эту дату) по дату полного погашения кредита, указанную в пункте 2.3.2 Контракта (включительно) либо в пункте 5.3 Контракта (включительно), равных произведению остатка ссудной задолженности по кредиту на начало календарного дня и размера плавающей процентной ставки за пользование кредитом, установленного в соответствии с пунктом 3.3 Контракта, деленному на количество календарных дней в году (</w:t>
      </w:r>
      <w:r w:rsidRPr="003A6AAE">
        <w:rPr>
          <w:rFonts w:ascii="PT Astra Serif" w:hAnsi="PT Astra Serif"/>
          <w:sz w:val="26"/>
          <w:szCs w:val="26"/>
          <w:lang w:val="en-US" w:eastAsia="ru-RU" w:bidi="ar-SA"/>
        </w:rPr>
        <w:t>S</w:t>
      </w:r>
      <w:r w:rsidRPr="003A6AAE">
        <w:rPr>
          <w:rFonts w:ascii="PT Astra Serif" w:hAnsi="PT Astra Serif"/>
          <w:sz w:val="26"/>
          <w:szCs w:val="26"/>
          <w:lang w:eastAsia="ru-RU" w:bidi="ar-SA"/>
        </w:rPr>
        <w:t>):</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sz w:val="26"/>
          <w:szCs w:val="26"/>
          <w:lang w:eastAsia="ru-RU" w:bidi="ar-SA"/>
        </w:rPr>
      </w:pPr>
      <m:oMath>
        <m:r>
          <m:rPr>
            <m:sty m:val="p"/>
          </m:rPr>
          <w:rPr>
            <w:rFonts w:ascii="Cambria Math" w:hAnsi="Cambria Math"/>
            <w:sz w:val="26"/>
            <w:szCs w:val="26"/>
            <w:lang w:eastAsia="ru-RU" w:bidi="ar-SA"/>
          </w:rPr>
          <m:t>S=</m:t>
        </m:r>
        <m:nary>
          <m:naryPr>
            <m:chr m:val="∑"/>
            <m:limLoc m:val="undOvr"/>
            <m:ctrlPr>
              <w:rPr>
                <w:rFonts w:ascii="Cambria Math" w:hAnsi="Cambria Math"/>
                <w:sz w:val="26"/>
                <w:szCs w:val="26"/>
                <w:lang w:eastAsia="ru-RU" w:bidi="ar-SA"/>
              </w:rPr>
            </m:ctrlPr>
          </m:naryPr>
          <m:sub>
            <m:r>
              <m:rPr>
                <m:sty m:val="p"/>
              </m:rPr>
              <w:rPr>
                <w:rFonts w:ascii="Cambria Math" w:hAnsi="Cambria Math"/>
                <w:sz w:val="26"/>
                <w:szCs w:val="26"/>
                <w:lang w:val="en-US" w:eastAsia="ru-RU" w:bidi="ar-SA"/>
              </w:rPr>
              <m:t>i</m:t>
            </m:r>
            <m:r>
              <m:rPr>
                <m:sty m:val="p"/>
              </m:rPr>
              <w:rPr>
                <w:rFonts w:ascii="Cambria Math" w:hAnsi="Cambria Math"/>
                <w:sz w:val="26"/>
                <w:szCs w:val="26"/>
                <w:lang w:eastAsia="ru-RU" w:bidi="ar-SA"/>
              </w:rPr>
              <m:t>=1</m:t>
            </m:r>
          </m:sub>
          <m:sup>
            <m:r>
              <m:rPr>
                <m:sty m:val="p"/>
              </m:rPr>
              <w:rPr>
                <w:rFonts w:ascii="Cambria Math" w:hAnsi="Cambria Math"/>
                <w:sz w:val="26"/>
                <w:szCs w:val="26"/>
                <w:lang w:eastAsia="ru-RU" w:bidi="ar-SA"/>
              </w:rPr>
              <m:t>n</m:t>
            </m:r>
          </m:sup>
          <m:e>
            <m:f>
              <m:fPr>
                <m:ctrlPr>
                  <w:rPr>
                    <w:rFonts w:ascii="Cambria Math" w:hAnsi="Cambria Math"/>
                    <w:sz w:val="26"/>
                    <w:szCs w:val="26"/>
                    <w:lang w:eastAsia="ru-RU" w:bidi="ar-SA"/>
                  </w:rPr>
                </m:ctrlPr>
              </m:fPr>
              <m:num>
                <m:sSub>
                  <m:sSubPr>
                    <m:ctrlPr>
                      <w:rPr>
                        <w:rFonts w:ascii="Cambria Math" w:hAnsi="Cambria Math"/>
                        <w:sz w:val="26"/>
                        <w:szCs w:val="26"/>
                        <w:lang w:eastAsia="ru-RU" w:bidi="ar-SA"/>
                      </w:rPr>
                    </m:ctrlPr>
                  </m:sSubPr>
                  <m:e>
                    <m:r>
                      <m:rPr>
                        <m:sty m:val="p"/>
                      </m:rPr>
                      <w:rPr>
                        <w:rFonts w:ascii="Cambria Math" w:hAnsi="Cambria Math"/>
                        <w:sz w:val="26"/>
                        <w:szCs w:val="26"/>
                        <w:lang w:eastAsia="ru-RU" w:bidi="ar-SA"/>
                      </w:rPr>
                      <m:t>ОСЗ</m:t>
                    </m:r>
                  </m:e>
                  <m:sub>
                    <m:r>
                      <m:rPr>
                        <m:sty m:val="p"/>
                      </m:rPr>
                      <w:rPr>
                        <w:rFonts w:ascii="Cambria Math" w:hAnsi="Cambria Math"/>
                        <w:sz w:val="26"/>
                        <w:szCs w:val="26"/>
                        <w:lang w:val="en-US" w:eastAsia="ru-RU" w:bidi="ar-SA"/>
                      </w:rPr>
                      <m:t>i</m:t>
                    </m:r>
                  </m:sub>
                </m:sSub>
                <m:r>
                  <m:rPr>
                    <m:sty m:val="p"/>
                  </m:rPr>
                  <w:rPr>
                    <w:rFonts w:ascii="Cambria Math" w:hAnsi="Cambria Math"/>
                    <w:sz w:val="26"/>
                    <w:szCs w:val="26"/>
                    <w:lang w:eastAsia="ru-RU" w:bidi="ar-SA"/>
                  </w:rPr>
                  <m:t>*</m:t>
                </m:r>
                <m:sSub>
                  <m:sSubPr>
                    <m:ctrlPr>
                      <w:rPr>
                        <w:rFonts w:ascii="Cambria Math" w:hAnsi="Cambria Math"/>
                        <w:sz w:val="26"/>
                        <w:szCs w:val="26"/>
                        <w:lang w:eastAsia="ru-RU" w:bidi="ar-SA"/>
                      </w:rPr>
                    </m:ctrlPr>
                  </m:sSubPr>
                  <m:e>
                    <m:r>
                      <m:rPr>
                        <m:sty m:val="p"/>
                      </m:rPr>
                      <w:rPr>
                        <w:rFonts w:ascii="Cambria Math" w:hAnsi="Cambria Math"/>
                        <w:sz w:val="26"/>
                        <w:szCs w:val="26"/>
                        <w:lang w:eastAsia="ru-RU" w:bidi="ar-SA"/>
                      </w:rPr>
                      <m:t>ППС</m:t>
                    </m:r>
                  </m:e>
                  <m:sub>
                    <m:r>
                      <m:rPr>
                        <m:sty m:val="p"/>
                      </m:rPr>
                      <w:rPr>
                        <w:rFonts w:ascii="Cambria Math" w:hAnsi="Cambria Math"/>
                        <w:sz w:val="26"/>
                        <w:szCs w:val="26"/>
                        <w:lang w:eastAsia="ru-RU" w:bidi="ar-SA"/>
                      </w:rPr>
                      <m:t>i</m:t>
                    </m:r>
                  </m:sub>
                </m:sSub>
              </m:num>
              <m:den>
                <m:sSub>
                  <m:sSubPr>
                    <m:ctrlPr>
                      <w:rPr>
                        <w:rFonts w:ascii="Cambria Math" w:hAnsi="Cambria Math"/>
                        <w:sz w:val="26"/>
                        <w:szCs w:val="26"/>
                        <w:lang w:eastAsia="ru-RU" w:bidi="ar-SA"/>
                      </w:rPr>
                    </m:ctrlPr>
                  </m:sSubPr>
                  <m:e>
                    <m:r>
                      <w:rPr>
                        <w:rFonts w:ascii="Cambria Math" w:hAnsi="Cambria Math"/>
                        <w:sz w:val="26"/>
                        <w:szCs w:val="26"/>
                        <w:lang w:eastAsia="ru-RU" w:bidi="ar-SA"/>
                      </w:rPr>
                      <m:t>Тгод</m:t>
                    </m:r>
                  </m:e>
                  <m:sub>
                    <m:r>
                      <m:rPr>
                        <m:sty m:val="p"/>
                      </m:rPr>
                      <w:rPr>
                        <w:rFonts w:ascii="Cambria Math" w:hAnsi="Cambria Math"/>
                        <w:sz w:val="26"/>
                        <w:szCs w:val="26"/>
                        <w:lang w:val="en-US" w:eastAsia="ru-RU" w:bidi="ar-SA"/>
                      </w:rPr>
                      <m:t>i</m:t>
                    </m:r>
                  </m:sub>
                </m:sSub>
              </m:den>
            </m:f>
          </m:e>
        </m:nary>
        <m:r>
          <w:rPr>
            <w:rFonts w:ascii="Cambria Math" w:hAnsi="Cambria Math"/>
            <w:sz w:val="26"/>
            <w:szCs w:val="26"/>
            <w:lang w:eastAsia="ru-RU" w:bidi="ar-SA"/>
          </w:rPr>
          <m:t>,</m:t>
        </m:r>
      </m:oMath>
      <w:r w:rsidRPr="003A6AAE">
        <w:rPr>
          <w:rFonts w:ascii="PT Astra Serif" w:hAnsi="PT Astra Serif"/>
          <w:sz w:val="26"/>
          <w:szCs w:val="26"/>
          <w:lang w:eastAsia="ru-RU" w:bidi="ar-SA"/>
        </w:rPr>
        <w:t xml:space="preserve"> где:</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i – календарный день, за который на сумму фактической задолженности по кредиту начисляются проценты за пользование кредитом;</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ОСЗi – остаток ссудной задолженности по кредиту на начало дня i, в рублях;</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ППСi – размер плавающей процентной ставки, установленный в соответствии с пунктом 3.3 Контракта на день i, в процентах годовых;</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lastRenderedPageBreak/>
        <w:t>Тгодi – фактическое количество календарных дней в году, на который приходится день i;</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n – количество дней пользования кредитом за период с даты первой выдачи кредита (не включая эту дату) по дату полного погашения кредита, указанную в пункте 2.3 Контракта (включительно) либо в пункте 5.3 Контракта (включительно).</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 xml:space="preserve">При этом </w:t>
      </w:r>
      <w:r w:rsidRPr="003A6AAE">
        <w:rPr>
          <w:rFonts w:ascii="PT Astra Serif" w:hAnsi="PT Astra Serif"/>
          <w:sz w:val="26"/>
          <w:szCs w:val="26"/>
          <w:lang w:val="en-US" w:eastAsia="ru-RU" w:bidi="ar-SA"/>
        </w:rPr>
        <w:t>S</w:t>
      </w:r>
      <w:r w:rsidRPr="003A6AAE">
        <w:rPr>
          <w:rFonts w:ascii="PT Astra Serif" w:hAnsi="PT Astra Serif"/>
          <w:sz w:val="26"/>
          <w:szCs w:val="26"/>
          <w:lang w:eastAsia="ru-RU" w:bidi="ar-SA"/>
        </w:rPr>
        <w:t xml:space="preserve"> не может превышать максимального значения цены Контракта, указанного в пункте 3.1 Контракта.»;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3) пункт 3.3 изложить в следующей редакции: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«3.3. Размер плавающей процентной ставки устанавливается на указанных в настоящем пункте условиях исходя из размера ключевой ставки Центрального банка Российской Федерации (плавающая составляющая) плюс надбавка (далее – надбавка), и определяется по формуле:</w:t>
      </w:r>
    </w:p>
    <w:p w:rsidR="003A6AAE" w:rsidRPr="003A6AAE" w:rsidRDefault="00E95B60" w:rsidP="003A6AAE">
      <w:pPr>
        <w:widowControl w:val="0"/>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center"/>
        <w:rPr>
          <w:rFonts w:ascii="PT Astra Serif" w:hAnsi="PT Astra Serif"/>
          <w:sz w:val="26"/>
          <w:szCs w:val="26"/>
          <w:lang w:eastAsia="ru-RU" w:bidi="ar-SA"/>
        </w:rPr>
      </w:pPr>
      <m:oMath>
        <m:sSub>
          <m:sSubPr>
            <m:ctrlPr>
              <w:rPr>
                <w:rFonts w:ascii="Cambria Math" w:hAnsi="Cambria Math"/>
                <w:sz w:val="26"/>
                <w:szCs w:val="26"/>
                <w:lang w:eastAsia="ru-RU" w:bidi="ar-SA"/>
              </w:rPr>
            </m:ctrlPr>
          </m:sSubPr>
          <m:e>
            <m:r>
              <m:rPr>
                <m:sty m:val="p"/>
              </m:rPr>
              <w:rPr>
                <w:rFonts w:ascii="Cambria Math" w:hAnsi="Cambria Math"/>
                <w:sz w:val="26"/>
                <w:szCs w:val="26"/>
                <w:lang w:eastAsia="ru-RU" w:bidi="ar-SA"/>
              </w:rPr>
              <m:t>ППС</m:t>
            </m:r>
          </m:e>
          <m:sub>
            <m:r>
              <m:rPr>
                <m:sty m:val="p"/>
              </m:rPr>
              <w:rPr>
                <w:rFonts w:ascii="Cambria Math" w:hAnsi="Cambria Math"/>
                <w:sz w:val="26"/>
                <w:szCs w:val="26"/>
                <w:lang w:eastAsia="ru-RU" w:bidi="ar-SA"/>
              </w:rPr>
              <m:t>i</m:t>
            </m:r>
          </m:sub>
        </m:sSub>
        <m:r>
          <m:rPr>
            <m:sty m:val="p"/>
          </m:rPr>
          <w:rPr>
            <w:rFonts w:ascii="Cambria Math" w:hAnsi="Cambria Math"/>
            <w:sz w:val="26"/>
            <w:szCs w:val="26"/>
            <w:lang w:eastAsia="ru-RU" w:bidi="ar-SA"/>
          </w:rPr>
          <m:t>=</m:t>
        </m:r>
        <m:sSub>
          <m:sSubPr>
            <m:ctrlPr>
              <w:rPr>
                <w:rFonts w:ascii="Cambria Math" w:hAnsi="Cambria Math"/>
                <w:sz w:val="26"/>
                <w:szCs w:val="26"/>
                <w:lang w:eastAsia="ru-RU" w:bidi="ar-SA"/>
              </w:rPr>
            </m:ctrlPr>
          </m:sSubPr>
          <m:e>
            <m:r>
              <m:rPr>
                <m:sty m:val="p"/>
              </m:rPr>
              <w:rPr>
                <w:rFonts w:ascii="Cambria Math" w:hAnsi="Cambria Math"/>
                <w:sz w:val="26"/>
                <w:szCs w:val="26"/>
                <w:lang w:eastAsia="ru-RU" w:bidi="ar-SA"/>
              </w:rPr>
              <m:t>КС</m:t>
            </m:r>
          </m:e>
          <m:sub>
            <m:r>
              <m:rPr>
                <m:sty m:val="p"/>
              </m:rPr>
              <w:rPr>
                <w:rFonts w:ascii="Cambria Math" w:hAnsi="Cambria Math"/>
                <w:sz w:val="26"/>
                <w:szCs w:val="26"/>
                <w:lang w:eastAsia="ru-RU" w:bidi="ar-SA"/>
              </w:rPr>
              <m:t>i</m:t>
            </m:r>
          </m:sub>
        </m:sSub>
        <m:r>
          <m:rPr>
            <m:sty m:val="p"/>
          </m:rPr>
          <w:rPr>
            <w:rFonts w:ascii="Cambria Math" w:hAnsi="Cambria Math"/>
            <w:sz w:val="26"/>
            <w:szCs w:val="26"/>
            <w:lang w:eastAsia="ru-RU" w:bidi="ar-SA"/>
          </w:rPr>
          <m:t xml:space="preserve">+H, </m:t>
        </m:r>
      </m:oMath>
      <w:r w:rsidR="003A6AAE" w:rsidRPr="003A6AAE">
        <w:rPr>
          <w:rFonts w:ascii="PT Astra Serif" w:hAnsi="PT Astra Serif"/>
          <w:sz w:val="26"/>
          <w:szCs w:val="26"/>
          <w:lang w:eastAsia="ru-RU" w:bidi="ar-SA"/>
        </w:rPr>
        <w:t>где:</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i – календарный день, за который на сумму фактической задолженности по кредиту начисляются проценты за пользование кредитом;</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ППСi – размер плавающей процентной ставки, устанавливаемой на день i, в процентах годовых;</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КСi – размер ключевой ставки Центрального банка Российской Федерации, действующей на день i, в процентах годовых</w:t>
      </w:r>
      <w:r w:rsidRPr="003A6AAE">
        <w:rPr>
          <w:rFonts w:ascii="PT Astra Serif" w:hAnsi="PT Astra Serif"/>
          <w:sz w:val="26"/>
          <w:szCs w:val="26"/>
          <w:vertAlign w:val="superscript"/>
          <w:lang w:eastAsia="ru-RU" w:bidi="ar-SA"/>
        </w:rPr>
        <w:t>9</w:t>
      </w:r>
      <w:r w:rsidRPr="003A6AAE">
        <w:rPr>
          <w:rFonts w:ascii="PT Astra Serif" w:hAnsi="PT Astra Serif"/>
          <w:sz w:val="26"/>
          <w:szCs w:val="26"/>
          <w:lang w:eastAsia="ru-RU" w:bidi="ar-SA"/>
        </w:rPr>
        <w:t>;</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Н – надбавка, которая составляет _____ (_____) процентов годовых</w:t>
      </w:r>
      <w:r w:rsidRPr="003A6AAE">
        <w:rPr>
          <w:rFonts w:ascii="PT Astra Serif" w:hAnsi="PT Astra Serif"/>
          <w:sz w:val="26"/>
          <w:szCs w:val="26"/>
          <w:vertAlign w:val="superscript"/>
          <w:lang w:eastAsia="ru-RU" w:bidi="ar-SA"/>
        </w:rPr>
        <w:t>10</w:t>
      </w:r>
      <w:r w:rsidRPr="003A6AAE">
        <w:rPr>
          <w:rFonts w:ascii="PT Astra Serif" w:hAnsi="PT Astra Serif"/>
          <w:sz w:val="26"/>
          <w:szCs w:val="26"/>
          <w:lang w:eastAsia="ru-RU" w:bidi="ar-SA"/>
        </w:rPr>
        <w:t xml:space="preserve">. </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 xml:space="preserve">С даты первой выдачи кредита (не включая эту дату) плавающая процентная ставка устанавливается в размере ключевой ставки Центрального банка Российской Федерации, действующей по состоянию на дату первой выдачи кредита плюс надбавка. </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Размер ключевой ставки Центрального банка Российской Федерации на дату изменения плавающей процентной ставки по Контракту определяется в соответствии с официальной информацией Центрального банка Российской Федерации, в том числе опубликованной на официальном сайте Центрального банка Российской Федерации по состоянию на указанную дату.</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Изменение размера плавающей процентной ставки по Контракту осуществляется без заключения дополнительного соглашения к Контракту. Исполнитель направляет Заказчику уведомление об изменении размера плавающей процентной ставки по Контракту в срок не позднее первого рабочего дня, следующего за датой изменения плавающей процентной ставки по Контракту. В случае, если Заказчик не получил указанного уведомления, размер плавающей процентной ставки по Контракту самостоятельно рассчитывается Заказчиком в соответствии с настоящим пунктом.»;</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4) в пункте 3.4 слова «, следующей за датой» исключить, слова «и надбавки» заменить словами «плюс надбавка»;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5) пункт 5.2 изложить в следующей редакции: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«5.2. Уплата Процентов осуществляется после подписания Заказчиком документа о приемке в соответствии с пунктом 5.13 Контракта путем перечисления денежных средств на счет Исполнителя по реквизитам, указанным в разделе 12 Контракта, не позднее дат, предусмотренных пунктами 5.3, 5.5 Контракта.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Погашение Кредитов осуществляется путем перечисления денежных средств на счет Исполнителя по реквизитам, указанным в разделе 12 Контракта, не позднее дат, предусмотренных пунктами 2.3.2, 5.3 Контракта. Не позднее 5 (пяти) рабочих дней с даты погашения Кредитов Исполнитель направляет Заказчику 2 (два) экземпляра подписанного акта сверки задолженности. Не позднее 5 (пяти) рабочих дней с даты, следующей за датой получения актов сверки задолженности, Заказчик подписывает и возвращает Исполнителю один экземпляр подписанного акта либо мотивированный отказ от подписания данного акта.»;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6) пункт 5.3 изложить в следующей редакции: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«5.3. В случае, если в связи с увеличением размера ключевой ставки Центрального банка Российской Федерации сумма фактически уплаченных, а также начисленных и подлежащих к уплате Процентов, рассчитанная в соответствии с пунктом 3.2 Контракта, достигает максимального значения цены Контракта, указанного в пункте 3.1 Контракта, ранее даты полного погашения выданного кредита, указанной в пункте 2.3.2 Контракта, задолженность по кредиту (основному долгу) по Контракту полностью становится срочной к погашению до наступления даты полного погашения кредита, указанной в пункте 2.3.2 Контракта, с уплатой начисленных на дату погашения Процентов и неустоек. Дата погашения в таком случае определяется как дата, предшествующая дате, по состоянию на которую сумма фактически уплаченных, а также начисленных и подлежащих к уплате Процентов, рассчитанная в соответствии с пунктом 3.2 Контракта, превысит максимальное значение цены Контракта, указанное в пункте 3.1 Контракта.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В случае, если дата погашения, определенная в соответствии с условиями настоящего пункта, наступает ранее ближайшей даты уплаты Процентов в соответствии с пунктом 5.5 Контракта, Исполнитель направляет Заказчику уведомление о размере подлежащей уплате задолженности по Контракту и дате ее погашения в срок не позднее даты погашения, определенной в соответствии с условиями настоящего пункта.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В случае, если Заказчик не получил указанного уведомления, размер, подлежащей уплате задолженности и дата ее погашения, самостоятельно определяются Заказчиком в соответствии с условиями Контракта.»;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7) пункт 5.5 изложить в следующей редакции: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«5.5.</w:t>
      </w:r>
      <w:r w:rsidRPr="003A6AAE">
        <w:rPr>
          <w:rFonts w:ascii="PT Astra Serif" w:hAnsi="PT Astra Serif"/>
          <w:sz w:val="26"/>
          <w:szCs w:val="26"/>
          <w:vertAlign w:val="superscript"/>
          <w:lang w:eastAsia="ru-RU" w:bidi="ar-SA"/>
        </w:rPr>
        <w:t>12</w:t>
      </w:r>
      <w:r w:rsidRPr="003A6AAE">
        <w:rPr>
          <w:rFonts w:ascii="PT Astra Serif" w:hAnsi="PT Astra Serif"/>
          <w:sz w:val="26"/>
          <w:szCs w:val="26"/>
          <w:lang w:eastAsia="ru-RU" w:bidi="ar-SA"/>
        </w:rPr>
        <w:t xml:space="preserve"> Первый процентный период начинается с даты, следующей за датой образования задолженности, и заканчивается в ближайшую из дат: 20 (двадцатого) числа месяца или в дату погашения задолженности. В дальнейшем процентный период начинается с 21 (двадцать первого) числа предшествующего месяца (включительно) и заканчивается 20 (двадцатого) числа текущего месяца (включительно).</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Уплата процентов осуществляется ежемесячно не позднее 22 (двадцать второго) числа.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В случае полного или частичного погашения Кредитов Проценты, начисленные на возвращаемые суммы, начисляются за период с 21 (двадцать первого) числа календарного месяца, в котором была произведена последняя уплата Процентов (включительно), по дату полного или частичного погашения Кредитов (включительно), а уплачиваются не позднее 1 (одного) рабочего дня с даты подписания документа о приемке.»;</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8) пункт 5.7 после слов «до наступления даты уплаты Процентов» дополнить словами «посредством электронной почты»;</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9) пункт 5.11 изложить в следующей редакции: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«5.11. Исполнитель ежемесячно, не позднее чем за 5 (пять) рабочих дней до даты окончания процентного периода, указанного в пункте 5.5 Контракта, а также до даты полного погашения полученных Кредитов, указанной в пункте 2.3.2 Контракта, формирует с использованием единой информационной системы в сфере закупок (далее – ЕИС), подписывает усиленной квалифицированной электронной подписью лица, имеющего право действовать от имени Исполнителя, и размещает в ЕИС документ о приемке, который должен содержать информацию, предусмотренную статьей 94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r w:rsidRPr="003A6AAE">
        <w:rPr>
          <w:rFonts w:ascii="PT Astra Serif" w:hAnsi="PT Astra Serif"/>
          <w:sz w:val="26"/>
          <w:szCs w:val="26"/>
          <w:vertAlign w:val="superscript"/>
          <w:lang w:eastAsia="ru-RU" w:bidi="ar-SA"/>
        </w:rPr>
        <w:t>15</w:t>
      </w:r>
      <w:r w:rsidRPr="003A6AAE">
        <w:rPr>
          <w:rFonts w:ascii="PT Astra Serif" w:hAnsi="PT Astra Serif"/>
          <w:sz w:val="26"/>
          <w:szCs w:val="26"/>
          <w:lang w:eastAsia="ru-RU" w:bidi="ar-SA"/>
        </w:rPr>
        <w:t>.</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Датой поступления Заказчику документа о приемке, подписанного Исполнителем, считается дата размещения в соответствии с настоящим пунктом такого документа в ЕИС в соответствии с часовой зоной, в которой расположен Заказчик.</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Одновременно с документом о приемке предоставляются иные документы, которые Исполнитель обязан предоставить Заказчику в соответствии с условиями Контракта.»;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9) в пункте 6.4.2 слова «в соответствии с пунктом 5.2 Контракта» заменить словами «в соответствии с пунктом 5.5 Контракта»;</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10) примечание 9 изложить в следующей редакции: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w:t>
      </w:r>
      <w:r w:rsidRPr="003A6AAE">
        <w:rPr>
          <w:rFonts w:ascii="PT Astra Serif" w:hAnsi="PT Astra Serif"/>
          <w:sz w:val="26"/>
          <w:szCs w:val="26"/>
          <w:vertAlign w:val="superscript"/>
          <w:lang w:eastAsia="ru-RU" w:bidi="ar-SA"/>
        </w:rPr>
        <w:t xml:space="preserve">9 </w:t>
      </w:r>
      <w:r w:rsidRPr="003A6AAE">
        <w:rPr>
          <w:rFonts w:ascii="PT Astra Serif" w:hAnsi="PT Astra Serif"/>
          <w:sz w:val="26"/>
          <w:szCs w:val="26"/>
          <w:lang w:eastAsia="ru-RU" w:bidi="ar-SA"/>
        </w:rPr>
        <w:t>Ключевая ставка Центрального банка Российской Федерации определяется в соответствии с официальной информацией Центрального банка Российской Федерации.»;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11) примечание 10 изложить в следующей редакции:</w:t>
      </w:r>
    </w:p>
    <w:p w:rsidR="003A6AAE" w:rsidRPr="003A6AAE" w:rsidRDefault="003A6AAE" w:rsidP="003A6AAE">
      <w:pPr>
        <w:pBdr>
          <w:top w:val="none" w:sz="0" w:space="0" w:color="auto"/>
          <w:left w:val="none" w:sz="0" w:space="0" w:color="auto"/>
          <w:bottom w:val="none" w:sz="0" w:space="0" w:color="auto"/>
          <w:right w:val="none" w:sz="0" w:space="0" w:color="auto"/>
          <w:between w:val="none" w:sz="0" w:space="0" w:color="auto"/>
        </w:pBdr>
        <w:ind w:firstLine="839"/>
        <w:jc w:val="both"/>
        <w:rPr>
          <w:rFonts w:ascii="PT Astra Serif" w:hAnsi="PT Astra Serif"/>
          <w:sz w:val="26"/>
          <w:szCs w:val="26"/>
          <w:lang w:eastAsia="ru-RU" w:bidi="ar-SA"/>
        </w:rPr>
      </w:pPr>
      <w:r w:rsidRPr="003A6AAE">
        <w:rPr>
          <w:rFonts w:ascii="PT Astra Serif" w:hAnsi="PT Astra Serif"/>
          <w:sz w:val="26"/>
          <w:szCs w:val="26"/>
          <w:lang w:eastAsia="ru-RU" w:bidi="ar-SA"/>
        </w:rPr>
        <w:t>«</w:t>
      </w:r>
      <w:r w:rsidRPr="003A6AAE">
        <w:rPr>
          <w:rFonts w:ascii="PT Astra Serif" w:hAnsi="PT Astra Serif"/>
          <w:sz w:val="26"/>
          <w:szCs w:val="26"/>
          <w:vertAlign w:val="superscript"/>
          <w:lang w:eastAsia="ru-RU" w:bidi="ar-SA"/>
        </w:rPr>
        <w:t xml:space="preserve">10 </w:t>
      </w:r>
      <w:r w:rsidRPr="003A6AAE">
        <w:rPr>
          <w:rFonts w:ascii="PT Astra Serif" w:hAnsi="PT Astra Serif"/>
          <w:sz w:val="26"/>
          <w:szCs w:val="26"/>
          <w:lang w:eastAsia="ru-RU" w:bidi="ar-SA"/>
        </w:rPr>
        <w:t>Размер надбавки рассчитывается по результатам проведения аукциона как разница между процентной ставкой, рассчитанной исходя из максимального значения цены контракта, предложенного победителем, суммы лимита единовременной задолженности, максимального срока действия кредитной линии, фактического числа календарных дней в году и ключевой ставки Центрального банка Российской Федерации, сложившейся на дату проведения аукциона.».</w:t>
      </w:r>
    </w:p>
    <w:p w:rsidR="007D07B0" w:rsidRPr="00A015DB" w:rsidRDefault="007D07B0" w:rsidP="00422061">
      <w:pPr>
        <w:pStyle w:val="ConsPlusNormal"/>
        <w:jc w:val="both"/>
        <w:rPr>
          <w:rFonts w:ascii="PT Astra Serif" w:hAnsi="PT Astra Serif" w:cs="Times New Roman"/>
          <w:sz w:val="26"/>
          <w:szCs w:val="26"/>
        </w:rPr>
      </w:pPr>
    </w:p>
    <w:p w:rsidR="007D07B0" w:rsidRPr="00A015DB" w:rsidRDefault="007D07B0" w:rsidP="00422061">
      <w:pPr>
        <w:pStyle w:val="ConsPlusNormal"/>
        <w:jc w:val="both"/>
        <w:rPr>
          <w:rFonts w:ascii="PT Astra Serif" w:hAnsi="PT Astra Serif" w:cs="Times New Roman"/>
          <w:sz w:val="26"/>
          <w:szCs w:val="26"/>
          <w:lang w:val="en-US"/>
        </w:rPr>
      </w:pPr>
    </w:p>
    <w:p w:rsidR="007D07B0" w:rsidRPr="00A015DB" w:rsidRDefault="007D07B0" w:rsidP="00422061">
      <w:pPr>
        <w:pStyle w:val="ConsPlusNormal"/>
        <w:jc w:val="both"/>
        <w:rPr>
          <w:rFonts w:ascii="PT Astra Serif" w:hAnsi="PT Astra Serif" w:cs="Times New Roman"/>
          <w:sz w:val="26"/>
          <w:szCs w:val="26"/>
          <w:lang w:val="en-US"/>
        </w:rPr>
      </w:pPr>
    </w:p>
    <w:tbl>
      <w:tblPr>
        <w:tblW w:w="9781" w:type="dxa"/>
        <w:tblLook w:val="04A0" w:firstRow="1" w:lastRow="0" w:firstColumn="1" w:lastColumn="0" w:noHBand="0" w:noVBand="1"/>
      </w:tblPr>
      <w:tblGrid>
        <w:gridCol w:w="3325"/>
        <w:gridCol w:w="3190"/>
        <w:gridCol w:w="3266"/>
      </w:tblGrid>
      <w:tr w:rsidR="007D07B0" w:rsidRPr="00A015DB" w:rsidTr="003A6AAE">
        <w:tc>
          <w:tcPr>
            <w:tcW w:w="3325" w:type="dxa"/>
            <w:tcBorders>
              <w:top w:val="none" w:sz="0" w:space="0" w:color="000000"/>
              <w:left w:val="none" w:sz="0" w:space="0" w:color="000000"/>
              <w:bottom w:val="none" w:sz="0" w:space="0" w:color="000000"/>
              <w:right w:val="none" w:sz="0" w:space="0" w:color="000000"/>
            </w:tcBorders>
            <w:noWrap/>
          </w:tcPr>
          <w:p w:rsidR="007D07B0" w:rsidRPr="00A015DB" w:rsidRDefault="00343736" w:rsidP="003A6AAE">
            <w:pPr>
              <w:tabs>
                <w:tab w:val="left" w:pos="7088"/>
              </w:tabs>
              <w:ind w:hanging="108"/>
              <w:jc w:val="both"/>
              <w:rPr>
                <w:rFonts w:ascii="PT Astra Serif" w:eastAsia="PT Astra Serif" w:hAnsi="PT Astra Serif" w:cs="PT Astra Serif"/>
                <w:sz w:val="26"/>
                <w:szCs w:val="26"/>
              </w:rPr>
            </w:pPr>
            <w:r w:rsidRPr="00A015DB">
              <w:rPr>
                <w:rFonts w:ascii="PT Astra Serif" w:hAnsi="PT Astra Serif"/>
                <w:sz w:val="26"/>
                <w:szCs w:val="26"/>
              </w:rPr>
              <w:t xml:space="preserve">Начальник Департамента </w:t>
            </w:r>
          </w:p>
        </w:tc>
        <w:tc>
          <w:tcPr>
            <w:tcW w:w="3190" w:type="dxa"/>
            <w:tcBorders>
              <w:top w:val="none" w:sz="0" w:space="0" w:color="000000"/>
              <w:left w:val="none" w:sz="0" w:space="0" w:color="000000"/>
              <w:bottom w:val="none" w:sz="0" w:space="0" w:color="000000"/>
              <w:right w:val="none" w:sz="0" w:space="0" w:color="000000"/>
            </w:tcBorders>
            <w:noWrap/>
          </w:tcPr>
          <w:p w:rsidR="007D07B0" w:rsidRPr="00A015DB" w:rsidRDefault="00343736" w:rsidP="008E3DC9">
            <w:pPr>
              <w:tabs>
                <w:tab w:val="left" w:pos="7088"/>
              </w:tabs>
              <w:jc w:val="center"/>
              <w:rPr>
                <w:rFonts w:ascii="PT Astra Serif" w:eastAsia="PT Astra Serif" w:hAnsi="PT Astra Serif" w:cs="PT Astra Serif"/>
                <w:sz w:val="26"/>
                <w:szCs w:val="26"/>
              </w:rPr>
            </w:pPr>
            <w:r w:rsidRPr="00A015DB">
              <w:rPr>
                <w:rFonts w:ascii="PT Astra Serif" w:eastAsia="PT Astra Serif" w:hAnsi="PT Astra Serif" w:cs="PT Astra Serif"/>
                <w:sz w:val="26"/>
                <w:szCs w:val="26"/>
              </w:rPr>
              <w:fldChar w:fldCharType="begin"/>
            </w:r>
            <w:bookmarkStart w:id="3" w:name="Штамп"/>
            <w:r w:rsidRPr="00A015DB">
              <w:rPr>
                <w:rFonts w:ascii="PT Astra Serif" w:eastAsia="PT Astra Serif" w:hAnsi="PT Astra Serif" w:cs="PT Astra Serif"/>
                <w:sz w:val="26"/>
                <w:szCs w:val="26"/>
              </w:rPr>
              <w:instrText xml:space="preserve"> FORMTEXT </w:instrText>
            </w:r>
            <w:r w:rsidRPr="00A015DB">
              <w:rPr>
                <w:rFonts w:ascii="PT Astra Serif" w:eastAsia="PT Astra Serif" w:hAnsi="PT Astra Serif" w:cs="PT Astra Serif"/>
                <w:sz w:val="26"/>
                <w:szCs w:val="26"/>
              </w:rPr>
              <w:fldChar w:fldCharType="end"/>
            </w:r>
            <w:bookmarkEnd w:id="3"/>
          </w:p>
        </w:tc>
        <w:tc>
          <w:tcPr>
            <w:tcW w:w="3266" w:type="dxa"/>
            <w:tcBorders>
              <w:top w:val="none" w:sz="0" w:space="0" w:color="000000"/>
              <w:left w:val="none" w:sz="0" w:space="0" w:color="000000"/>
              <w:bottom w:val="none" w:sz="0" w:space="0" w:color="000000"/>
              <w:right w:val="none" w:sz="0" w:space="0" w:color="000000"/>
            </w:tcBorders>
            <w:noWrap/>
          </w:tcPr>
          <w:p w:rsidR="007D07B0" w:rsidRPr="00A015DB" w:rsidRDefault="00343736">
            <w:pPr>
              <w:tabs>
                <w:tab w:val="left" w:pos="7088"/>
              </w:tabs>
              <w:jc w:val="right"/>
              <w:rPr>
                <w:rFonts w:ascii="PT Astra Serif" w:eastAsia="PT Astra Serif" w:hAnsi="PT Astra Serif" w:cs="PT Astra Serif"/>
                <w:sz w:val="26"/>
                <w:szCs w:val="26"/>
              </w:rPr>
            </w:pPr>
            <w:r w:rsidRPr="00A015DB">
              <w:rPr>
                <w:rFonts w:ascii="PT Astra Serif" w:hAnsi="PT Astra Serif"/>
                <w:sz w:val="26"/>
                <w:szCs w:val="26"/>
              </w:rPr>
              <w:t> Г.В. Гонгина</w:t>
            </w:r>
          </w:p>
        </w:tc>
      </w:tr>
    </w:tbl>
    <w:p w:rsidR="007D07B0" w:rsidRDefault="007D07B0">
      <w:pPr>
        <w:tabs>
          <w:tab w:val="left" w:pos="7088"/>
        </w:tabs>
        <w:jc w:val="both"/>
        <w:rPr>
          <w:rFonts w:ascii="PT Astra Serif" w:eastAsia="PT Astra Serif" w:hAnsi="PT Astra Serif" w:cs="PT Astra Serif"/>
          <w:sz w:val="28"/>
          <w:szCs w:val="28"/>
        </w:rPr>
      </w:pPr>
    </w:p>
    <w:sectPr w:rsidR="007D07B0">
      <w:headerReference w:type="default" r:id="rId8"/>
      <w:headerReference w:type="first" r:id="rId9"/>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700" w:rsidRDefault="009D5700">
      <w:r>
        <w:separator/>
      </w:r>
    </w:p>
  </w:endnote>
  <w:endnote w:type="continuationSeparator" w:id="0">
    <w:p w:rsidR="009D5700" w:rsidRDefault="009D5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700" w:rsidRDefault="009D5700">
      <w:r>
        <w:separator/>
      </w:r>
    </w:p>
  </w:footnote>
  <w:footnote w:type="continuationSeparator" w:id="0">
    <w:p w:rsidR="009D5700" w:rsidRDefault="009D5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7B0" w:rsidRPr="00076FD6" w:rsidRDefault="00343736">
    <w:pPr>
      <w:pStyle w:val="af"/>
      <w:spacing w:before="0"/>
      <w:rPr>
        <w:rFonts w:ascii="PT Astra Serif" w:hAnsi="PT Astra Serif"/>
        <w:b w:val="0"/>
        <w:sz w:val="26"/>
        <w:szCs w:val="26"/>
      </w:rPr>
    </w:pPr>
    <w:r w:rsidRPr="00076FD6">
      <w:rPr>
        <w:rFonts w:ascii="PT Astra Serif" w:hAnsi="PT Astra Serif"/>
        <w:b w:val="0"/>
        <w:sz w:val="26"/>
        <w:szCs w:val="26"/>
      </w:rPr>
      <w:fldChar w:fldCharType="begin"/>
    </w:r>
    <w:r w:rsidRPr="00076FD6">
      <w:rPr>
        <w:rFonts w:ascii="PT Astra Serif" w:hAnsi="PT Astra Serif"/>
        <w:b w:val="0"/>
        <w:sz w:val="26"/>
        <w:szCs w:val="26"/>
      </w:rPr>
      <w:instrText xml:space="preserve"> PAGE   \* MERGEFORMAT </w:instrText>
    </w:r>
    <w:r w:rsidRPr="00076FD6">
      <w:rPr>
        <w:rFonts w:ascii="PT Astra Serif" w:hAnsi="PT Astra Serif"/>
        <w:b w:val="0"/>
        <w:sz w:val="26"/>
        <w:szCs w:val="26"/>
      </w:rPr>
      <w:fldChar w:fldCharType="separate"/>
    </w:r>
    <w:r w:rsidR="008E3DC9">
      <w:rPr>
        <w:rFonts w:ascii="PT Astra Serif" w:hAnsi="PT Astra Serif"/>
        <w:b w:val="0"/>
        <w:noProof/>
        <w:sz w:val="26"/>
        <w:szCs w:val="26"/>
      </w:rPr>
      <w:t>4</w:t>
    </w:r>
    <w:r w:rsidRPr="00076FD6">
      <w:rPr>
        <w:rFonts w:ascii="PT Astra Serif" w:hAnsi="PT Astra Serif"/>
        <w:b w:val="0"/>
        <w:sz w:val="26"/>
        <w:szCs w:val="2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7B0" w:rsidRDefault="00343736">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mc:AlternateContent>
        <mc:Choice Requires="wpg">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3.2pt;height:48.8pt;" stroked="f">
              <v:path textboxrect="0,0,0,0"/>
              <v:imagedata r:id="rId2" o:title=""/>
            </v:shape>
          </w:pict>
        </mc:Fallback>
      </mc:AlternateContent>
    </w:r>
  </w:p>
  <w:p w:rsidR="007D07B0" w:rsidRDefault="00343736">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государственного заказа</w:t>
    </w:r>
  </w:p>
  <w:p w:rsidR="007D07B0" w:rsidRDefault="00343736">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7D07B0" w:rsidRDefault="00343736">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ocumentProtection w:edit="trackedChanges" w:enforcement="0"/>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7B0"/>
    <w:rsid w:val="00027D6B"/>
    <w:rsid w:val="00076FD6"/>
    <w:rsid w:val="00091ED1"/>
    <w:rsid w:val="00343736"/>
    <w:rsid w:val="003A6AAE"/>
    <w:rsid w:val="00422061"/>
    <w:rsid w:val="006C6D8C"/>
    <w:rsid w:val="007D07B0"/>
    <w:rsid w:val="00880AD6"/>
    <w:rsid w:val="008E3DC9"/>
    <w:rsid w:val="009D5700"/>
    <w:rsid w:val="00A015DB"/>
    <w:rsid w:val="00CB5E1A"/>
    <w:rsid w:val="00E95B60"/>
    <w:rsid w:val="00F325DE"/>
    <w:rsid w:val="00F87C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1510</Words>
  <Characters>8612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документооборот Directum</cp:lastModifiedBy>
  <cp:revision>17</cp:revision>
  <dcterms:created xsi:type="dcterms:W3CDTF">2023-09-25T04:49:00Z</dcterms:created>
  <dcterms:modified xsi:type="dcterms:W3CDTF">2023-09-25T06:48:00Z</dcterms:modified>
</cp:coreProperties>
</file>