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проведении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продажи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 посредством публичного предложения </w:t>
      </w: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в электронной форме 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spacing w:line="283" w:lineRule="atLeas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676"/>
        <w:ind w:left="0" w:right="360" w:firstLine="0"/>
        <w:spacing w:before="0" w:after="0" w:line="283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/>
          <w:b/>
          <w:bCs/>
          <w:sz w:val="21"/>
          <w:szCs w:val="21"/>
          <w:shd w:val="clear" w:color="auto" w:fill="ffffff"/>
        </w:rPr>
        <w:t xml:space="preserve">Номер процедуры на сайте РТС-Тендер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: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</w:t>
      </w:r>
      <w:r>
        <w:rPr>
          <w:rFonts w:ascii="PT Astra Serif" w:hAnsi="PT Astra Serif" w:eastAsia="PT Astra Serif" w:cs="PT Astra Serif"/>
          <w:b/>
          <w:bCs/>
          <w:color w:val="14337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bCs/>
          <w:color w:val="000000" w:themeColor="text1"/>
          <w:sz w:val="24"/>
          <w:szCs w:val="24"/>
        </w:rPr>
        <w:t xml:space="preserve">21000022460000000042</w:t>
      </w:r>
      <w:r>
        <w:rPr>
          <w:color w:val="000000" w:themeColor="text1"/>
        </w:rPr>
      </w:r>
      <w:r>
        <w:rPr>
          <w:rFonts w:ascii="Arial" w:hAnsi="Arial" w:eastAsia="Arial" w:cs="Arial"/>
          <w:sz w:val="54"/>
        </w:rPr>
      </w:r>
    </w:p>
    <w:p>
      <w:pPr>
        <w:spacing w:line="334" w:lineRule="exact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62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</w:t>
            </w:r>
            <w:bookmarkStart w:id="0" w:name="_GoBack"/>
            <w:r/>
            <w:bookmarkEnd w:id="0"/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Администрация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дминистрации Томской области 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17 но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ября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 №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751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-ра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Томск, пр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Кирова, 20, телефон: +7(3822)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12, адрес электр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онной почты: </w:t>
            </w:r>
            <w:hyperlink r:id="rId10" w:tooltip="mailto:dugsto@gov70.ru" w:history="1">
              <w:r>
                <w:rPr>
                  <w:rStyle w:val="854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dugsto@gov70.ru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hyperlink r:id="rId11" w:tooltip="mailto:fai@gki.tomsk.ru" w:history="1"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gki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tomsk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.</w:t>
              </w:r>
              <w:r>
                <w:rPr>
                  <w:rStyle w:val="854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shoi@gki.tomsk.ru,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clv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@gki.tomsk.ru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</w:t>
            </w:r>
            <w:hyperlink r:id="rId12" w:tooltip="http://www.rts-tender.ru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д.23-А,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контактные телефоны: 8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499) 653-77-00,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Ф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</w:t>
            </w:r>
            <w:r>
              <w:rPr>
                <w:rStyle w:val="854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(строение), назначение: нежилое, 1-этажное, площадь 623,8 кв. м, кадастровый номер 70:21:0100006:643 адрес: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г. Томск, ул. Фестивальная, д. 9, строен. 1 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 xml:space="preserve">земельным участком, занимаемым объектом недвижимости, категория земель: земли населенных пунктов,  виды разрешенного использования: для эксплуатации и обслуживания зданий, площадь 1485 кв. м, кадастровый номер 70:21:0100006:1482, адрес:</w:t>
            </w:r>
            <w:r>
              <w:rPr>
                <w:rFonts w:ascii="PT Astra Serif" w:hAnsi="PT Astra Serif"/>
                <w:b/>
                <w:sz w:val="24"/>
                <w:szCs w:val="24"/>
                <w:lang w:eastAsia="en-US"/>
              </w:rPr>
              <w:t xml:space="preserve"> Российская Федерация, Томская область, г. Томск, ул. Фестивальная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- имущество).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имущество не является предметом спора и не находится под арестом, не является предметом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залога.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Продажа государственного имущества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Ц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первоначального предложения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8 743 413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осемь миллионов семьсот сорок три тысячи четыреста тринадцать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(далее –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приобретении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произведена победителем продажи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лицевой счет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64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40102810245370000058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64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продажи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задатка: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874 341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осемьсот семьдесят четыре тысячи триста сорок один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рубль 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 копее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(10% начальной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позднее 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24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bCs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снижения цены первоначального предложения («шаг понижения»)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874 341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осемьсот семьдесят четыре тысячи триста сорок один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рубль 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(10% цены первоначального предложения)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437 170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четыреста тридцать семь тысяч сто семьдесят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 65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(50% «шага понижения»)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Минимальная цена предложения (цена отсечения)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4 371 706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четыре миллиона триста семьдесят одна тысяча семьсот шесть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рублей 50 копеек (50% начальной цены)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13" w:tooltip="http://www.rts-tender.ru" w:history="1">
              <w:r>
                <w:rPr>
                  <w:rStyle w:val="854"/>
                  <w:rFonts w:ascii="PT Astra Serif" w:hAnsi="PT Astra Serif" w:eastAsia="Times New Roman"/>
                  <w:b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25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ноября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к: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4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декабря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торгах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торгах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пяти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даты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проведения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продажи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 дня начала приема заявок по адресу: г.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Томск, пр. Кирова, 20, кабинет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13, 14, номера телефонов: (3822)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11, 551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-703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жится в документации о продаже посредством публичного предложения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54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ень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определения участников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5 декабря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дной заявки продажа посредством публичного предложения признается несостоявшей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я продажи посредством публичного предложения</w:t>
            </w:r>
            <w:r>
              <w:rPr>
                <w:rFonts w:ascii="PT Astra Serif" w:hAnsi="PT Astra Serif" w:eastAsia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Победителем признается участник, который подтвердил цену первоначального предложения или цену предложения,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сложившуюся на соответствующем «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шаге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понижения»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, при отсутствии предложений других участников.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несколько участников подтверждаю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т цену первоначального предложения или цену предло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жения, сложившуюся на одном из «шагов понижения»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, со всеми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участниками проводится аукцион.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Начальной ценой имущества на аукционе является соответственно цена первоначального предложения или цена пред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ложения, сложившаяся на данном «шаге пони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жения». Время приема предложений учас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тников о цене имущества составляет 10 минут. «Шаг аукциона» устанавливается продавцом в фиксированной сумме, составляющей не более 50 процентов «шага понижения», и не изменяется в течение всей процедуры продажи имущества посредством публичного предложения.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Продажа посредством публичного предложения, в которой принял участие только один участник, признается несостоявшейся.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Дата, время и место продажи посредством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публичного предложения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продажи посредством публичного предложения: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27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декабря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2023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года.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Время продажи посредством публичного предложения: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продажи посредством публичного предложения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</w:t>
            </w:r>
            <w:hyperlink r:id="rId16" w:tooltip="http://www.rts-tender.ru" w:history="1">
              <w:r>
                <w:rPr>
                  <w:rStyle w:val="854"/>
                  <w:rFonts w:ascii="PT Astra Serif" w:hAnsi="PT Astra Serif" w:eastAsia="Times New Roman"/>
                  <w:b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электронная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торговая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площадка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 «РТС – тендер»  </w:t>
            </w:r>
            <w:hyperlink r:id="rId17" w:tooltip="http://www.rts-tender.ru" w:history="1">
              <w:r>
                <w:rPr>
                  <w:rStyle w:val="854"/>
                  <w:rFonts w:ascii="PT Astra Serif" w:hAnsi="PT Astra Serif" w:eastAsia="Times New Roman"/>
                  <w:b/>
                  <w:sz w:val="24"/>
                  <w:szCs w:val="24"/>
                </w:rPr>
                <w:t xml:space="preserve">www.rts-tender.ru</w:t>
              </w:r>
            </w:hyperlink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27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декабря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color w:val="000000" w:themeColor="text1"/>
                <w:sz w:val="24"/>
                <w:szCs w:val="24"/>
              </w:rPr>
              <w:t xml:space="preserve">3 года</w:t>
            </w:r>
            <w:r>
              <w:rPr>
                <w:rFonts w:ascii="PT Astra Serif" w:hAnsi="PT Astra Serif" w:eastAsia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часов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 до последнего предложения участников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20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none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 25.08.202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3, 29.09.2023, 02.11.2023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не состоялись по причине отсутствия заявок.</w:t>
            </w:r>
            <w:r>
              <w:rPr>
                <w:rFonts w:ascii="PT Astra Serif" w:hAnsi="PT Astra Serif" w:eastAsia="Times New Roman"/>
              </w:rPr>
            </w:r>
            <w:r>
              <w:rPr>
                <w:rFonts w:ascii="PT Astra Serif" w:hAnsi="PT Astra Serif" w:eastAsia="Times New Roman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21.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Правительства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Российской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Федерации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от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27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августа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2012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3"/>
          <w:szCs w:val="23"/>
        </w:rPr>
        <w:t xml:space="preserve">года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Законом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12 июля</w:t>
      </w:r>
      <w:r>
        <w:rPr>
          <w:rFonts w:ascii="PT Astra Serif" w:hAnsi="PT Astra Serif" w:eastAsia="Times New Roman"/>
          <w:sz w:val="24"/>
          <w:szCs w:val="24"/>
        </w:rPr>
        <w:t xml:space="preserve"> 201</w:t>
      </w:r>
      <w:r>
        <w:rPr>
          <w:rFonts w:ascii="PT Astra Serif" w:hAnsi="PT Astra Serif" w:eastAsia="Times New Roman"/>
          <w:sz w:val="24"/>
          <w:szCs w:val="24"/>
        </w:rPr>
        <w:t xml:space="preserve">8</w:t>
      </w:r>
      <w:r>
        <w:rPr>
          <w:rFonts w:ascii="PT Astra Serif" w:hAnsi="PT Astra Serif" w:eastAsia="Times New Roman"/>
          <w:sz w:val="24"/>
          <w:szCs w:val="24"/>
        </w:rPr>
        <w:t xml:space="preserve"> года № </w:t>
      </w:r>
      <w:r>
        <w:rPr>
          <w:rFonts w:ascii="PT Astra Serif" w:hAnsi="PT Astra Serif" w:eastAsia="Times New Roman"/>
          <w:sz w:val="24"/>
          <w:szCs w:val="24"/>
        </w:rPr>
        <w:t xml:space="preserve">80-ОЗ</w:t>
      </w:r>
      <w:r>
        <w:rPr>
          <w:rFonts w:ascii="PT Astra Serif" w:hAnsi="PT Astra Serif" w:eastAsia="Times New Roman"/>
          <w:sz w:val="24"/>
          <w:szCs w:val="24"/>
        </w:rPr>
        <w:t xml:space="preserve"> «</w:t>
      </w:r>
      <w:r>
        <w:rPr>
          <w:rFonts w:ascii="PT Astra Serif" w:hAnsi="PT Astra Serif" w:eastAsia="Times New Roman"/>
          <w:sz w:val="24"/>
          <w:szCs w:val="24"/>
        </w:rPr>
        <w:t xml:space="preserve">О приватизации государственного имущества Томской области</w:t>
      </w:r>
      <w:r>
        <w:rPr>
          <w:rFonts w:ascii="PT Astra Serif" w:hAnsi="PT Astra Serif" w:eastAsia="Times New Roman"/>
          <w:sz w:val="24"/>
          <w:szCs w:val="24"/>
        </w:rPr>
        <w:t xml:space="preserve">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</w:t>
      </w:r>
      <w:r>
        <w:rPr>
          <w:rFonts w:ascii="PT Astra Serif" w:hAnsi="PT Astra Serif" w:eastAsia="Times New Roman"/>
          <w:sz w:val="24"/>
          <w:szCs w:val="24"/>
        </w:rPr>
        <w:t xml:space="preserve">Законодательной Думы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Томской</w:t>
      </w:r>
      <w:r>
        <w:rPr>
          <w:rFonts w:ascii="PT Astra Serif" w:hAnsi="PT Astra Serif" w:eastAsia="Times New Roman"/>
          <w:sz w:val="24"/>
          <w:szCs w:val="24"/>
        </w:rPr>
        <w:t xml:space="preserve"> области от </w:t>
      </w:r>
      <w:r>
        <w:rPr>
          <w:rFonts w:ascii="PT Astra Serif" w:hAnsi="PT Astra Serif" w:eastAsia="Times New Roman"/>
          <w:sz w:val="24"/>
          <w:szCs w:val="24"/>
        </w:rPr>
        <w:t xml:space="preserve">27 </w:t>
      </w:r>
      <w:r>
        <w:rPr>
          <w:rFonts w:ascii="PT Astra Serif" w:hAnsi="PT Astra Serif" w:eastAsia="Times New Roman"/>
          <w:sz w:val="24"/>
          <w:szCs w:val="24"/>
        </w:rPr>
        <w:t xml:space="preserve">октября 2022</w:t>
      </w:r>
      <w:r>
        <w:rPr>
          <w:rFonts w:ascii="PT Astra Serif" w:hAnsi="PT Astra Serif" w:eastAsia="Times New Roman"/>
          <w:sz w:val="24"/>
          <w:szCs w:val="24"/>
        </w:rPr>
        <w:t xml:space="preserve"> года № </w:t>
      </w:r>
      <w:r>
        <w:rPr>
          <w:rFonts w:ascii="PT Astra Serif" w:hAnsi="PT Astra Serif" w:eastAsia="Times New Roman"/>
          <w:sz w:val="24"/>
          <w:szCs w:val="24"/>
        </w:rPr>
        <w:t xml:space="preserve">449 </w:t>
      </w:r>
      <w:r>
        <w:rPr>
          <w:rFonts w:ascii="PT Astra Serif" w:hAnsi="PT Astra Serif" w:eastAsia="Times New Roman"/>
          <w:sz w:val="24"/>
          <w:szCs w:val="24"/>
        </w:rPr>
        <w:t xml:space="preserve">«О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прогнозном плане (программе) приватизации</w:t>
      </w:r>
      <w:r>
        <w:rPr>
          <w:rFonts w:ascii="PT Astra Serif" w:hAnsi="PT Astra Serif" w:eastAsia="Times New Roman"/>
          <w:sz w:val="24"/>
          <w:szCs w:val="24"/>
        </w:rPr>
        <w:t xml:space="preserve"> государственного</w:t>
      </w:r>
      <w:r>
        <w:rPr>
          <w:rFonts w:ascii="PT Astra Serif" w:hAnsi="PT Astra Serif" w:eastAsia="Times New Roman"/>
          <w:sz w:val="24"/>
          <w:szCs w:val="24"/>
        </w:rPr>
        <w:t xml:space="preserve"> имущества Томской области на</w:t>
      </w:r>
      <w:r>
        <w:rPr>
          <w:rFonts w:ascii="PT Astra Serif" w:hAnsi="PT Astra Serif" w:eastAsia="Times New Roman"/>
          <w:sz w:val="24"/>
          <w:szCs w:val="24"/>
        </w:rPr>
        <w:t xml:space="preserve"> плановый период 202</w:t>
      </w:r>
      <w:r>
        <w:rPr>
          <w:rFonts w:ascii="PT Astra Serif" w:hAnsi="PT Astra Serif" w:eastAsia="Times New Roman"/>
          <w:sz w:val="24"/>
          <w:szCs w:val="24"/>
        </w:rPr>
        <w:t xml:space="preserve">3-</w:t>
      </w:r>
      <w:r>
        <w:rPr>
          <w:rFonts w:ascii="PT Astra Serif" w:hAnsi="PT Astra Serif" w:eastAsia="Times New Roman"/>
          <w:sz w:val="24"/>
          <w:szCs w:val="24"/>
        </w:rPr>
        <w:t xml:space="preserve">202</w:t>
      </w:r>
      <w:r>
        <w:rPr>
          <w:rFonts w:ascii="PT Astra Serif" w:hAnsi="PT Astra Serif" w:eastAsia="Times New Roman"/>
          <w:sz w:val="24"/>
          <w:szCs w:val="24"/>
        </w:rPr>
        <w:t xml:space="preserve">5 годов</w:t>
      </w:r>
      <w:r>
        <w:rPr>
          <w:rFonts w:ascii="PT Astra Serif" w:hAnsi="PT Astra Serif" w:eastAsia="Times New Roman"/>
          <w:sz w:val="24"/>
          <w:szCs w:val="24"/>
        </w:rPr>
        <w:t xml:space="preserve">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в продаже имущества посредством публичного предложения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для о</w:t>
      </w:r>
      <w:r>
        <w:rPr>
          <w:rFonts w:ascii="PT Astra Serif" w:hAnsi="PT Astra Serif" w:eastAsia="Times New Roman"/>
          <w:sz w:val="24"/>
          <w:szCs w:val="24"/>
        </w:rPr>
        <w:t xml:space="preserve">формления участия в электронной продаже посредством публичного предложения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</w:t>
      </w:r>
      <w:r>
        <w:rPr>
          <w:rFonts w:ascii="PT Astra Serif" w:hAnsi="PT Astra Serif" w:eastAsia="Times New Roman"/>
          <w:sz w:val="24"/>
          <w:szCs w:val="24"/>
        </w:rPr>
        <w:t xml:space="preserve">принять участие в электронной</w:t>
      </w:r>
      <w:r>
        <w:rPr>
          <w:rFonts w:ascii="PT Astra Serif" w:hAnsi="PT Astra Serif" w:eastAsia="Times New Roman"/>
          <w:color w:val="ff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(далее – Претенденты), представляют Организатору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</w:t>
      </w:r>
      <w:r>
        <w:rPr>
          <w:rFonts w:ascii="PT Astra Serif" w:hAnsi="PT Astra Serif" w:eastAsia="Times New Roman"/>
          <w:sz w:val="24"/>
          <w:szCs w:val="24"/>
        </w:rPr>
        <w:t xml:space="preserve"> также одновременно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с </w:t>
      </w:r>
      <w:r>
        <w:rPr>
          <w:rFonts w:ascii="PT Astra Serif" w:hAnsi="PT Astra Serif" w:eastAsia="Times New Roman"/>
          <w:sz w:val="24"/>
          <w:szCs w:val="24"/>
        </w:rPr>
        <w:t xml:space="preserve">заявкой представляют документы, обязательный перечень которых указан </w:t>
      </w:r>
      <w:r>
        <w:rPr>
          <w:rFonts w:ascii="PT Astra Serif" w:hAnsi="PT Astra Serif" w:eastAsia="Times New Roman"/>
          <w:sz w:val="24"/>
          <w:szCs w:val="24"/>
        </w:rPr>
        <w:t xml:space="preserve">в данном информационном сообщении</w:t>
      </w:r>
      <w:r>
        <w:rPr>
          <w:rFonts w:ascii="PT Astra Serif" w:hAnsi="PT Astra Serif" w:eastAsia="Times New Roman"/>
          <w:sz w:val="24"/>
          <w:szCs w:val="24"/>
        </w:rPr>
        <w:t xml:space="preserve">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</w:t>
      </w:r>
      <w:r>
        <w:rPr>
          <w:rFonts w:ascii="PT Astra Serif" w:hAnsi="PT Astra Serif" w:eastAsia="Times New Roman"/>
          <w:sz w:val="24"/>
          <w:szCs w:val="24"/>
        </w:rPr>
        <w:t xml:space="preserve"> заявку на участие в электронной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</w:t>
      </w:r>
      <w:r>
        <w:rPr>
          <w:rFonts w:ascii="PT Astra Serif" w:hAnsi="PT Astra Serif" w:eastAsia="Times New Roman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Претендент вносит задаток на указанный в настоящем Инфор</w:t>
      </w:r>
      <w:r>
        <w:rPr>
          <w:rFonts w:ascii="PT Astra Serif" w:hAnsi="PT Astra Serif" w:eastAsia="Times New Roman"/>
          <w:sz w:val="24"/>
          <w:szCs w:val="24"/>
        </w:rPr>
        <w:t xml:space="preserve">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имущества и засчитывается победителю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в счет оплаты приобретаемого имущества. 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государственного имущества он имеет право отозвать зарегистрированную заявку путем письменного уведомления Организатора </w:t>
      </w:r>
      <w:r>
        <w:rPr>
          <w:rFonts w:ascii="PT Astra Serif" w:hAnsi="PT Astra Serif" w:eastAsia="Times New Roman"/>
          <w:sz w:val="24"/>
          <w:szCs w:val="24"/>
        </w:rPr>
        <w:t xml:space="preserve">продажи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</w:t>
      </w:r>
      <w:r>
        <w:rPr>
          <w:rFonts w:ascii="PT Astra Serif" w:hAnsi="PT Astra Serif" w:eastAsia="Times New Roman"/>
          <w:sz w:val="24"/>
          <w:szCs w:val="24"/>
        </w:rPr>
        <w:t xml:space="preserve">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, кроме победителя,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При уклонении или отказе победителя от заключения в установленный срок д</w:t>
      </w:r>
      <w:r>
        <w:rPr>
          <w:rFonts w:ascii="PT Astra Serif" w:hAnsi="PT Astra Serif" w:eastAsia="Times New Roman"/>
          <w:sz w:val="24"/>
          <w:szCs w:val="24"/>
        </w:rPr>
        <w:t xml:space="preserve">оговора купли-продажи имущества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он</w:t>
      </w:r>
      <w:r>
        <w:rPr>
          <w:rFonts w:ascii="PT Astra Serif" w:hAnsi="PT Astra Serif" w:eastAsia="Times New Roman"/>
          <w:sz w:val="24"/>
          <w:szCs w:val="24"/>
        </w:rPr>
        <w:t xml:space="preserve"> утрачивает право на</w:t>
      </w:r>
      <w:r>
        <w:rPr>
          <w:rFonts w:ascii="PT Astra Serif" w:hAnsi="PT Astra Serif" w:eastAsia="Times New Roman"/>
          <w:sz w:val="24"/>
          <w:szCs w:val="24"/>
        </w:rPr>
        <w:t xml:space="preserve"> заключение указанного договора и</w:t>
      </w:r>
      <w:r>
        <w:rPr>
          <w:rFonts w:ascii="PT Astra Serif" w:hAnsi="PT Astra Serif" w:eastAsia="Times New Roman"/>
          <w:sz w:val="24"/>
          <w:szCs w:val="24"/>
        </w:rPr>
        <w:t xml:space="preserve"> задаток ему не возвращается.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</w:t>
      </w:r>
      <w:r>
        <w:rPr>
          <w:rFonts w:ascii="PT Astra Serif" w:hAnsi="PT Astra Serif" w:eastAsia="Times New Roman"/>
          <w:b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</w:t>
      </w:r>
      <w:r>
        <w:rPr>
          <w:rFonts w:ascii="PT Astra Serif" w:hAnsi="PT Astra Serif" w:eastAsia="Times New Roman"/>
          <w:sz w:val="24"/>
          <w:szCs w:val="24"/>
        </w:rPr>
        <w:t xml:space="preserve">данным информационным сообщением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</w:t>
      </w:r>
      <w:r>
        <w:rPr>
          <w:rFonts w:ascii="PT Astra Serif" w:hAnsi="PT Astra Serif" w:eastAsia="Times New Roman"/>
          <w:sz w:val="24"/>
          <w:szCs w:val="24"/>
        </w:rPr>
        <w:t xml:space="preserve">продаже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</w:t>
      </w:r>
      <w:r>
        <w:rPr>
          <w:rFonts w:ascii="PT Astra Serif" w:hAnsi="PT Astra Serif" w:eastAsia="Times New Roman"/>
          <w:sz w:val="24"/>
          <w:szCs w:val="24"/>
        </w:rPr>
        <w:t xml:space="preserve">продаже</w:t>
      </w:r>
      <w:r>
        <w:rPr>
          <w:rFonts w:ascii="PT Astra Serif" w:hAnsi="PT Astra Serif" w:eastAsia="Times New Roman"/>
          <w:sz w:val="24"/>
          <w:szCs w:val="24"/>
        </w:rPr>
        <w:t xml:space="preserve">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продажи посредством публичного предложения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 </w:t>
      </w:r>
      <w:r>
        <w:rPr>
          <w:rFonts w:ascii="PT Astra Serif" w:hAnsi="PT Astra Serif" w:eastAsia="Times New Roman"/>
          <w:sz w:val="24"/>
          <w:szCs w:val="24"/>
        </w:rPr>
        <w:t xml:space="preserve">в соотве</w:t>
      </w:r>
      <w:r>
        <w:rPr>
          <w:rFonts w:ascii="PT Astra Serif" w:hAnsi="PT Astra Serif" w:eastAsia="Times New Roman"/>
          <w:sz w:val="24"/>
          <w:szCs w:val="24"/>
        </w:rPr>
        <w:t xml:space="preserve">тствии с </w:t>
      </w:r>
      <w:r>
        <w:rPr>
          <w:rFonts w:ascii="PT Astra Serif" w:hAnsi="PT Astra Serif" w:eastAsia="Times New Roman"/>
          <w:sz w:val="24"/>
          <w:szCs w:val="24"/>
        </w:rPr>
        <w:t xml:space="preserve">регламентом</w:t>
      </w:r>
      <w:r>
        <w:rPr>
          <w:rFonts w:ascii="PT Astra Serif" w:hAnsi="PT Astra Serif" w:eastAsia="Times New Roman"/>
          <w:sz w:val="24"/>
          <w:szCs w:val="24"/>
        </w:rPr>
        <w:t xml:space="preserve"> электронно</w:t>
      </w:r>
      <w:r>
        <w:rPr>
          <w:rFonts w:ascii="PT Astra Serif" w:hAnsi="PT Astra Serif" w:eastAsia="Times New Roman"/>
          <w:sz w:val="24"/>
          <w:szCs w:val="24"/>
        </w:rPr>
        <w:t xml:space="preserve">й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площадки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</w:t>
      </w:r>
      <w:r>
        <w:rPr>
          <w:rFonts w:ascii="PT Astra Serif" w:hAnsi="PT Astra Serif" w:eastAsia="Times New Roman"/>
          <w:sz w:val="24"/>
          <w:szCs w:val="24"/>
        </w:rPr>
        <w:t xml:space="preserve">продажи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Протокол об итогах </w:t>
      </w:r>
      <w:r>
        <w:rPr>
          <w:rFonts w:ascii="PT Astra Serif" w:hAnsi="PT Astra Serif" w:eastAsia="Times New Roman"/>
          <w:sz w:val="24"/>
          <w:szCs w:val="24"/>
        </w:rPr>
        <w:t xml:space="preserve">продажи</w:t>
      </w:r>
      <w:r>
        <w:rPr>
          <w:rFonts w:ascii="PT Astra Serif" w:hAnsi="PT Astra Serif" w:eastAsia="Times New Roman"/>
          <w:sz w:val="24"/>
          <w:szCs w:val="24"/>
        </w:rPr>
        <w:t xml:space="preserve"> имущества</w:t>
      </w:r>
      <w:r>
        <w:rPr>
          <w:rFonts w:ascii="PT Astra Serif" w:hAnsi="PT Astra Serif" w:eastAsia="Times New Roman"/>
          <w:sz w:val="24"/>
          <w:szCs w:val="24"/>
        </w:rPr>
        <w:t xml:space="preserve"> посредством публичного предложения</w:t>
      </w:r>
      <w:r>
        <w:rPr>
          <w:rFonts w:ascii="PT Astra Serif" w:hAnsi="PT Astra Serif" w:eastAsia="Times New Roman"/>
          <w:sz w:val="24"/>
          <w:szCs w:val="24"/>
        </w:rPr>
        <w:t xml:space="preserve">, содержащий цену имущества, предложенную победителем, и удостоверяющий</w:t>
      </w:r>
      <w:r>
        <w:rPr>
          <w:rFonts w:ascii="PT Astra Serif" w:hAnsi="PT Astra Serif" w:eastAsia="Times New Roman"/>
          <w:sz w:val="24"/>
          <w:szCs w:val="24"/>
        </w:rPr>
        <w:t xml:space="preserve"> право победителя на заключение до</w:t>
      </w:r>
      <w:r>
        <w:rPr>
          <w:rFonts w:ascii="PT Astra Serif" w:hAnsi="PT Astra Serif" w:eastAsia="Times New Roman"/>
          <w:sz w:val="24"/>
          <w:szCs w:val="24"/>
        </w:rPr>
        <w:t xml:space="preserve">говора купли-продажи имущества,</w:t>
      </w:r>
      <w:r>
        <w:rPr>
          <w:rFonts w:ascii="PT Astra Serif" w:hAnsi="PT Astra Serif" w:eastAsia="Times New Roman"/>
          <w:sz w:val="24"/>
          <w:szCs w:val="24"/>
        </w:rPr>
        <w:t xml:space="preserve"> подписывается продавцом в течение одного часа с</w:t>
      </w:r>
      <w:r>
        <w:rPr>
          <w:rFonts w:ascii="PT Astra Serif" w:hAnsi="PT Astra Serif" w:eastAsia="Times New Roman"/>
          <w:sz w:val="24"/>
          <w:szCs w:val="24"/>
        </w:rPr>
        <w:t xml:space="preserve">о времени получения от оператора электронной площадки электронного журнала</w:t>
      </w:r>
      <w:r>
        <w:rPr>
          <w:rFonts w:ascii="PT Astra Serif" w:hAnsi="PT Astra Serif" w:eastAsia="Times New Roman"/>
          <w:sz w:val="24"/>
          <w:szCs w:val="24"/>
        </w:rPr>
        <w:t xml:space="preserve">.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6">
    <w:name w:val="Heading 1"/>
    <w:basedOn w:val="850"/>
    <w:next w:val="850"/>
    <w:link w:val="67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7">
    <w:name w:val="Heading 1 Char"/>
    <w:basedOn w:val="851"/>
    <w:link w:val="676"/>
    <w:uiPriority w:val="9"/>
    <w:rPr>
      <w:rFonts w:ascii="Arial" w:hAnsi="Arial" w:eastAsia="Arial" w:cs="Arial"/>
      <w:sz w:val="40"/>
      <w:szCs w:val="40"/>
    </w:rPr>
  </w:style>
  <w:style w:type="paragraph" w:styleId="678">
    <w:name w:val="Heading 2"/>
    <w:basedOn w:val="850"/>
    <w:next w:val="850"/>
    <w:link w:val="67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9">
    <w:name w:val="Heading 2 Char"/>
    <w:basedOn w:val="851"/>
    <w:link w:val="678"/>
    <w:uiPriority w:val="9"/>
    <w:rPr>
      <w:rFonts w:ascii="Arial" w:hAnsi="Arial" w:eastAsia="Arial" w:cs="Arial"/>
      <w:sz w:val="34"/>
    </w:rPr>
  </w:style>
  <w:style w:type="paragraph" w:styleId="680">
    <w:name w:val="Heading 3"/>
    <w:basedOn w:val="850"/>
    <w:next w:val="850"/>
    <w:link w:val="68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1">
    <w:name w:val="Heading 3 Char"/>
    <w:basedOn w:val="851"/>
    <w:link w:val="680"/>
    <w:uiPriority w:val="9"/>
    <w:rPr>
      <w:rFonts w:ascii="Arial" w:hAnsi="Arial" w:eastAsia="Arial" w:cs="Arial"/>
      <w:sz w:val="30"/>
      <w:szCs w:val="30"/>
    </w:rPr>
  </w:style>
  <w:style w:type="paragraph" w:styleId="682">
    <w:name w:val="Heading 4"/>
    <w:basedOn w:val="850"/>
    <w:next w:val="850"/>
    <w:link w:val="68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3">
    <w:name w:val="Heading 4 Char"/>
    <w:basedOn w:val="851"/>
    <w:link w:val="682"/>
    <w:uiPriority w:val="9"/>
    <w:rPr>
      <w:rFonts w:ascii="Arial" w:hAnsi="Arial" w:eastAsia="Arial" w:cs="Arial"/>
      <w:b/>
      <w:bCs/>
      <w:sz w:val="26"/>
      <w:szCs w:val="26"/>
    </w:rPr>
  </w:style>
  <w:style w:type="paragraph" w:styleId="684">
    <w:name w:val="Heading 5"/>
    <w:basedOn w:val="850"/>
    <w:next w:val="850"/>
    <w:link w:val="68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5">
    <w:name w:val="Heading 5 Char"/>
    <w:basedOn w:val="851"/>
    <w:link w:val="684"/>
    <w:uiPriority w:val="9"/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850"/>
    <w:next w:val="850"/>
    <w:link w:val="68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7">
    <w:name w:val="Heading 6 Char"/>
    <w:basedOn w:val="851"/>
    <w:link w:val="686"/>
    <w:uiPriority w:val="9"/>
    <w:rPr>
      <w:rFonts w:ascii="Arial" w:hAnsi="Arial" w:eastAsia="Arial" w:cs="Arial"/>
      <w:b/>
      <w:bCs/>
      <w:sz w:val="22"/>
      <w:szCs w:val="22"/>
    </w:rPr>
  </w:style>
  <w:style w:type="paragraph" w:styleId="688">
    <w:name w:val="Heading 7"/>
    <w:basedOn w:val="850"/>
    <w:next w:val="850"/>
    <w:link w:val="68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7 Char"/>
    <w:basedOn w:val="851"/>
    <w:link w:val="68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0">
    <w:name w:val="Heading 8"/>
    <w:basedOn w:val="850"/>
    <w:next w:val="850"/>
    <w:link w:val="69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1">
    <w:name w:val="Heading 8 Char"/>
    <w:basedOn w:val="851"/>
    <w:link w:val="690"/>
    <w:uiPriority w:val="9"/>
    <w:rPr>
      <w:rFonts w:ascii="Arial" w:hAnsi="Arial" w:eastAsia="Arial" w:cs="Arial"/>
      <w:i/>
      <w:iCs/>
      <w:sz w:val="22"/>
      <w:szCs w:val="22"/>
    </w:rPr>
  </w:style>
  <w:style w:type="paragraph" w:styleId="692">
    <w:name w:val="Heading 9"/>
    <w:basedOn w:val="850"/>
    <w:next w:val="850"/>
    <w:link w:val="69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3">
    <w:name w:val="Heading 9 Char"/>
    <w:basedOn w:val="851"/>
    <w:link w:val="692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No Spacing"/>
    <w:uiPriority w:val="1"/>
    <w:qFormat/>
    <w:pPr>
      <w:spacing w:before="0" w:after="0" w:line="240" w:lineRule="auto"/>
    </w:pPr>
  </w:style>
  <w:style w:type="paragraph" w:styleId="695">
    <w:name w:val="Title"/>
    <w:basedOn w:val="850"/>
    <w:next w:val="850"/>
    <w:link w:val="69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6">
    <w:name w:val="Title Char"/>
    <w:basedOn w:val="851"/>
    <w:link w:val="695"/>
    <w:uiPriority w:val="10"/>
    <w:rPr>
      <w:sz w:val="48"/>
      <w:szCs w:val="48"/>
    </w:rPr>
  </w:style>
  <w:style w:type="paragraph" w:styleId="697">
    <w:name w:val="Subtitle"/>
    <w:basedOn w:val="850"/>
    <w:next w:val="850"/>
    <w:link w:val="698"/>
    <w:uiPriority w:val="11"/>
    <w:qFormat/>
    <w:pPr>
      <w:spacing w:before="200" w:after="200"/>
    </w:pPr>
    <w:rPr>
      <w:sz w:val="24"/>
      <w:szCs w:val="24"/>
    </w:rPr>
  </w:style>
  <w:style w:type="character" w:styleId="698">
    <w:name w:val="Subtitle Char"/>
    <w:basedOn w:val="851"/>
    <w:link w:val="697"/>
    <w:uiPriority w:val="11"/>
    <w:rPr>
      <w:sz w:val="24"/>
      <w:szCs w:val="24"/>
    </w:rPr>
  </w:style>
  <w:style w:type="paragraph" w:styleId="699">
    <w:name w:val="Quote"/>
    <w:basedOn w:val="850"/>
    <w:next w:val="850"/>
    <w:link w:val="700"/>
    <w:uiPriority w:val="29"/>
    <w:qFormat/>
    <w:pPr>
      <w:ind w:left="720" w:right="720"/>
    </w:pPr>
    <w:rPr>
      <w:i/>
    </w:rPr>
  </w:style>
  <w:style w:type="character" w:styleId="700">
    <w:name w:val="Quote Char"/>
    <w:link w:val="699"/>
    <w:uiPriority w:val="29"/>
    <w:rPr>
      <w:i/>
    </w:rPr>
  </w:style>
  <w:style w:type="paragraph" w:styleId="701">
    <w:name w:val="Intense Quote"/>
    <w:basedOn w:val="850"/>
    <w:next w:val="850"/>
    <w:link w:val="70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2">
    <w:name w:val="Intense Quote Char"/>
    <w:link w:val="701"/>
    <w:uiPriority w:val="30"/>
    <w:rPr>
      <w:i/>
    </w:rPr>
  </w:style>
  <w:style w:type="character" w:styleId="703">
    <w:name w:val="Header Char"/>
    <w:basedOn w:val="851"/>
    <w:link w:val="855"/>
    <w:uiPriority w:val="99"/>
  </w:style>
  <w:style w:type="paragraph" w:styleId="704">
    <w:name w:val="Footer"/>
    <w:basedOn w:val="850"/>
    <w:link w:val="70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>
    <w:name w:val="Footer Char"/>
    <w:basedOn w:val="851"/>
    <w:link w:val="704"/>
    <w:uiPriority w:val="99"/>
  </w:style>
  <w:style w:type="paragraph" w:styleId="706">
    <w:name w:val="Caption"/>
    <w:basedOn w:val="850"/>
    <w:next w:val="8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7">
    <w:name w:val="Caption Char"/>
    <w:basedOn w:val="706"/>
    <w:link w:val="704"/>
    <w:uiPriority w:val="99"/>
  </w:style>
  <w:style w:type="table" w:styleId="708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7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8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9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0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1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2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9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0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1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2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3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4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1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2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3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4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5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6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9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0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1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2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3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4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5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6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7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8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9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0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1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2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7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8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9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0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1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2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3">
    <w:name w:val="footnote text"/>
    <w:basedOn w:val="850"/>
    <w:link w:val="834"/>
    <w:uiPriority w:val="99"/>
    <w:semiHidden/>
    <w:unhideWhenUsed/>
    <w:pPr>
      <w:spacing w:after="40" w:line="240" w:lineRule="auto"/>
    </w:pPr>
    <w:rPr>
      <w:sz w:val="18"/>
    </w:rPr>
  </w:style>
  <w:style w:type="character" w:styleId="834">
    <w:name w:val="Footnote Text Char"/>
    <w:link w:val="833"/>
    <w:uiPriority w:val="99"/>
    <w:rPr>
      <w:sz w:val="18"/>
    </w:rPr>
  </w:style>
  <w:style w:type="character" w:styleId="835">
    <w:name w:val="footnote reference"/>
    <w:basedOn w:val="851"/>
    <w:uiPriority w:val="99"/>
    <w:unhideWhenUsed/>
    <w:rPr>
      <w:vertAlign w:val="superscript"/>
    </w:rPr>
  </w:style>
  <w:style w:type="paragraph" w:styleId="836">
    <w:name w:val="endnote text"/>
    <w:basedOn w:val="850"/>
    <w:link w:val="837"/>
    <w:uiPriority w:val="99"/>
    <w:semiHidden/>
    <w:unhideWhenUsed/>
    <w:pPr>
      <w:spacing w:after="0" w:line="240" w:lineRule="auto"/>
    </w:pPr>
    <w:rPr>
      <w:sz w:val="20"/>
    </w:rPr>
  </w:style>
  <w:style w:type="character" w:styleId="837">
    <w:name w:val="Endnote Text Char"/>
    <w:link w:val="836"/>
    <w:uiPriority w:val="99"/>
    <w:rPr>
      <w:sz w:val="20"/>
    </w:rPr>
  </w:style>
  <w:style w:type="character" w:styleId="838">
    <w:name w:val="endnote reference"/>
    <w:basedOn w:val="851"/>
    <w:uiPriority w:val="99"/>
    <w:semiHidden/>
    <w:unhideWhenUsed/>
    <w:rPr>
      <w:vertAlign w:val="superscript"/>
    </w:rPr>
  </w:style>
  <w:style w:type="paragraph" w:styleId="839">
    <w:name w:val="toc 1"/>
    <w:basedOn w:val="850"/>
    <w:next w:val="850"/>
    <w:uiPriority w:val="39"/>
    <w:unhideWhenUsed/>
    <w:pPr>
      <w:ind w:left="0" w:right="0" w:firstLine="0"/>
      <w:spacing w:after="57"/>
    </w:pPr>
  </w:style>
  <w:style w:type="paragraph" w:styleId="840">
    <w:name w:val="toc 2"/>
    <w:basedOn w:val="850"/>
    <w:next w:val="850"/>
    <w:uiPriority w:val="39"/>
    <w:unhideWhenUsed/>
    <w:pPr>
      <w:ind w:left="283" w:right="0" w:firstLine="0"/>
      <w:spacing w:after="57"/>
    </w:pPr>
  </w:style>
  <w:style w:type="paragraph" w:styleId="841">
    <w:name w:val="toc 3"/>
    <w:basedOn w:val="850"/>
    <w:next w:val="850"/>
    <w:uiPriority w:val="39"/>
    <w:unhideWhenUsed/>
    <w:pPr>
      <w:ind w:left="567" w:right="0" w:firstLine="0"/>
      <w:spacing w:after="57"/>
    </w:pPr>
  </w:style>
  <w:style w:type="paragraph" w:styleId="842">
    <w:name w:val="toc 4"/>
    <w:basedOn w:val="850"/>
    <w:next w:val="850"/>
    <w:uiPriority w:val="39"/>
    <w:unhideWhenUsed/>
    <w:pPr>
      <w:ind w:left="850" w:right="0" w:firstLine="0"/>
      <w:spacing w:after="57"/>
    </w:pPr>
  </w:style>
  <w:style w:type="paragraph" w:styleId="843">
    <w:name w:val="toc 5"/>
    <w:basedOn w:val="850"/>
    <w:next w:val="850"/>
    <w:uiPriority w:val="39"/>
    <w:unhideWhenUsed/>
    <w:pPr>
      <w:ind w:left="1134" w:right="0" w:firstLine="0"/>
      <w:spacing w:after="57"/>
    </w:pPr>
  </w:style>
  <w:style w:type="paragraph" w:styleId="844">
    <w:name w:val="toc 6"/>
    <w:basedOn w:val="850"/>
    <w:next w:val="850"/>
    <w:uiPriority w:val="39"/>
    <w:unhideWhenUsed/>
    <w:pPr>
      <w:ind w:left="1417" w:right="0" w:firstLine="0"/>
      <w:spacing w:after="57"/>
    </w:pPr>
  </w:style>
  <w:style w:type="paragraph" w:styleId="845">
    <w:name w:val="toc 7"/>
    <w:basedOn w:val="850"/>
    <w:next w:val="850"/>
    <w:uiPriority w:val="39"/>
    <w:unhideWhenUsed/>
    <w:pPr>
      <w:ind w:left="1701" w:right="0" w:firstLine="0"/>
      <w:spacing w:after="57"/>
    </w:pPr>
  </w:style>
  <w:style w:type="paragraph" w:styleId="846">
    <w:name w:val="toc 8"/>
    <w:basedOn w:val="850"/>
    <w:next w:val="850"/>
    <w:uiPriority w:val="39"/>
    <w:unhideWhenUsed/>
    <w:pPr>
      <w:ind w:left="1984" w:right="0" w:firstLine="0"/>
      <w:spacing w:after="57"/>
    </w:pPr>
  </w:style>
  <w:style w:type="paragraph" w:styleId="847">
    <w:name w:val="toc 9"/>
    <w:basedOn w:val="850"/>
    <w:next w:val="850"/>
    <w:uiPriority w:val="39"/>
    <w:unhideWhenUsed/>
    <w:pPr>
      <w:ind w:left="2268" w:right="0" w:firstLine="0"/>
      <w:spacing w:after="57"/>
    </w:pPr>
  </w:style>
  <w:style w:type="paragraph" w:styleId="848">
    <w:name w:val="TOC Heading"/>
    <w:uiPriority w:val="39"/>
    <w:unhideWhenUsed/>
  </w:style>
  <w:style w:type="paragraph" w:styleId="849">
    <w:name w:val="table of figures"/>
    <w:basedOn w:val="850"/>
    <w:next w:val="850"/>
    <w:uiPriority w:val="99"/>
    <w:unhideWhenUsed/>
    <w:pPr>
      <w:spacing w:after="0" w:afterAutospacing="0"/>
    </w:pPr>
  </w:style>
  <w:style w:type="paragraph" w:styleId="850" w:default="1">
    <w:name w:val="Normal"/>
    <w:qFormat/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character" w:styleId="854">
    <w:name w:val="Hyperlink"/>
    <w:basedOn w:val="851"/>
    <w:uiPriority w:val="99"/>
    <w:unhideWhenUsed/>
    <w:rPr>
      <w:color w:val="0000ff"/>
      <w:u w:val="single"/>
    </w:rPr>
  </w:style>
  <w:style w:type="paragraph" w:styleId="855">
    <w:name w:val="Header"/>
    <w:basedOn w:val="850"/>
    <w:link w:val="856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56" w:customStyle="1">
    <w:name w:val="Верхний колонтитул Знак"/>
    <w:basedOn w:val="851"/>
    <w:link w:val="855"/>
    <w:rPr>
      <w:rFonts w:eastAsia="Times New Roman"/>
      <w:sz w:val="24"/>
      <w:szCs w:val="24"/>
    </w:rPr>
  </w:style>
  <w:style w:type="paragraph" w:styleId="857" w:customStyle="1">
    <w:name w:val="ФИО"/>
    <w:basedOn w:val="850"/>
    <w:link w:val="858"/>
    <w:rPr>
      <w:rFonts w:eastAsia="Times New Roman"/>
      <w:b/>
      <w:sz w:val="24"/>
      <w:szCs w:val="24"/>
    </w:rPr>
  </w:style>
  <w:style w:type="character" w:styleId="858" w:customStyle="1">
    <w:name w:val="ФИО Знак"/>
    <w:link w:val="857"/>
    <w:rPr>
      <w:rFonts w:eastAsia="Times New Roman"/>
      <w:b/>
      <w:sz w:val="24"/>
      <w:szCs w:val="24"/>
    </w:rPr>
  </w:style>
  <w:style w:type="paragraph" w:styleId="859">
    <w:name w:val="Balloon Text"/>
    <w:basedOn w:val="850"/>
    <w:link w:val="860"/>
    <w:uiPriority w:val="99"/>
    <w:semiHidden/>
    <w:unhideWhenUsed/>
    <w:rPr>
      <w:rFonts w:ascii="Tahoma" w:hAnsi="Tahoma" w:cs="Tahoma"/>
      <w:sz w:val="16"/>
      <w:szCs w:val="16"/>
    </w:rPr>
  </w:style>
  <w:style w:type="character" w:styleId="860" w:customStyle="1">
    <w:name w:val="Текст выноски Знак"/>
    <w:basedOn w:val="851"/>
    <w:link w:val="859"/>
    <w:uiPriority w:val="99"/>
    <w:semiHidden/>
    <w:rPr>
      <w:rFonts w:ascii="Tahoma" w:hAnsi="Tahoma" w:cs="Tahoma"/>
      <w:sz w:val="16"/>
      <w:szCs w:val="16"/>
    </w:rPr>
  </w:style>
  <w:style w:type="paragraph" w:styleId="861">
    <w:name w:val="List Paragraph"/>
    <w:basedOn w:val="850"/>
    <w:uiPriority w:val="34"/>
    <w:qFormat/>
    <w:pPr>
      <w:contextualSpacing/>
      <w:ind w:left="720"/>
    </w:pPr>
  </w:style>
  <w:style w:type="table" w:styleId="862">
    <w:name w:val="Table Grid"/>
    <w:basedOn w:val="85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3" w:customStyle="1">
    <w:name w:val="Default"/>
    <w:rPr>
      <w:color w:val="000000"/>
      <w:sz w:val="24"/>
      <w:szCs w:val="24"/>
    </w:rPr>
  </w:style>
  <w:style w:type="paragraph" w:styleId="864">
    <w:name w:val="Body Text"/>
    <w:basedOn w:val="850"/>
    <w:link w:val="865"/>
    <w:rPr>
      <w:rFonts w:eastAsia="Times New Roman"/>
      <w:bCs/>
      <w:sz w:val="32"/>
      <w:szCs w:val="24"/>
    </w:rPr>
  </w:style>
  <w:style w:type="character" w:styleId="865" w:customStyle="1">
    <w:name w:val="Основной текст Знак"/>
    <w:basedOn w:val="851"/>
    <w:link w:val="864"/>
    <w:rPr>
      <w:rFonts w:eastAsia="Times New Roman"/>
      <w:bCs/>
      <w:sz w:val="32"/>
      <w:szCs w:val="24"/>
    </w:rPr>
  </w:style>
  <w:style w:type="character" w:styleId="866">
    <w:name w:val="FollowedHyperlink"/>
    <w:basedOn w:val="851"/>
    <w:uiPriority w:val="99"/>
    <w:semiHidden/>
    <w:unhideWhenUsed/>
    <w:rPr>
      <w:color w:val="800080" w:themeColor="followedHyperlink"/>
      <w:u w:val="single"/>
    </w:rPr>
  </w:style>
  <w:style w:type="paragraph" w:styleId="867" w:customStyle="1">
    <w:name w:val="Body Text 2"/>
    <w:pPr>
      <w:contextualSpacing w:val="0"/>
      <w:ind w:left="0" w:right="0" w:firstLine="0"/>
      <w:jc w:val="both"/>
      <w:keepLines w:val="0"/>
      <w:keepNext w:val="0"/>
      <w:pageBreakBefore w:val="0"/>
      <w:spacing w:before="0" w:beforeAutospacing="0" w:after="80" w:afterAutospacing="0" w:line="228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0"/>
      <w:highlight w:val="none"/>
      <w:u w:val="none"/>
      <w:vertAlign w:val="baseline"/>
      <w:rtl w:val="0"/>
      <w:cs w:val="0"/>
      <w:lang w:val="en-US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rts-tender.ru" TargetMode="External"/><Relationship Id="rId13" Type="http://schemas.openxmlformats.org/officeDocument/2006/relationships/hyperlink" Target="http://www.rts-tender.r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Relationship Id="rId16" Type="http://schemas.openxmlformats.org/officeDocument/2006/relationships/hyperlink" Target="http://www.rts-tender.ru" TargetMode="External"/><Relationship Id="rId17" Type="http://schemas.openxmlformats.org/officeDocument/2006/relationships/hyperlink" Target="http://www.rts-tender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4ECF1-F288-4113-80DF-8DB0083B4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revision>78</cp:revision>
  <dcterms:created xsi:type="dcterms:W3CDTF">2020-10-14T03:11:00Z</dcterms:created>
  <dcterms:modified xsi:type="dcterms:W3CDTF">2023-11-22T08:57:54Z</dcterms:modified>
</cp:coreProperties>
</file>