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>
        <w:trPr/>
        <w:tc>
          <w:tcPr>
            <w:gridSpan w:val="4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center"/>
            <w:textDirection w:val="lrTb"/>
            <w:noWrap w:val="false"/>
          </w:tcPr>
          <w:p>
            <w:pPr>
              <w:ind w:left="113" w:right="113"/>
              <w:jc w:val="center"/>
              <w:spacing w:before="20" w:after="2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>
              <w:rPr>
                <w:b/>
                <w:bCs/>
                <w:sz w:val="26"/>
                <w:szCs w:val="26"/>
              </w:rPr>
            </w:r>
          </w:p>
        </w:tc>
      </w:tr>
      <w:tr>
        <w:trPr/>
        <w:tc>
          <w:tcPr>
            <w:gridSpan w:val="42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6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3572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субъект Российской Федерации</w:t>
            </w:r>
            <w:r>
              <w:rPr>
                <w:sz w:val="24"/>
                <w:szCs w:val="24"/>
              </w:rPr>
            </w:r>
          </w:p>
        </w:tc>
        <w:tc>
          <w:tcPr>
            <w:gridSpan w:val="1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15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Томская область</w:t>
            </w: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4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3232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</w:t>
            </w:r>
            <w:r>
              <w:rPr>
                <w:sz w:val="24"/>
                <w:szCs w:val="24"/>
              </w:rPr>
            </w:r>
          </w:p>
        </w:tc>
        <w:tc>
          <w:tcPr>
            <w:gridSpan w:val="16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492" w:type="dxa"/>
            <w:vAlign w:val="bottom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Томский район, </w:t>
            </w:r>
            <w:r>
              <w:rPr>
                <w:b/>
                <w:sz w:val="24"/>
                <w:szCs w:val="24"/>
              </w:rPr>
              <w:t xml:space="preserve">Богаш</w:t>
            </w:r>
            <w:r>
              <w:rPr>
                <w:b/>
                <w:sz w:val="24"/>
                <w:szCs w:val="24"/>
              </w:rPr>
              <w:t xml:space="preserve">ев</w:t>
            </w:r>
            <w:r>
              <w:rPr>
                <w:b/>
                <w:sz w:val="24"/>
                <w:szCs w:val="24"/>
              </w:rPr>
              <w:t xml:space="preserve">ское</w:t>
            </w:r>
            <w:r>
              <w:rPr>
                <w:b/>
                <w:sz w:val="24"/>
                <w:szCs w:val="24"/>
              </w:rPr>
              <w:t xml:space="preserve"> сельское поселение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14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155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населенный пункт</w:t>
            </w:r>
            <w:r>
              <w:rPr>
                <w:sz w:val="24"/>
                <w:szCs w:val="24"/>
              </w:rPr>
            </w:r>
          </w:p>
        </w:tc>
        <w:tc>
          <w:tcPr>
            <w:gridSpan w:val="26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569" w:type="dxa"/>
            <w:vAlign w:val="bottom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,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center"/>
            <w:textDirection w:val="lrTb"/>
            <w:noWrap w:val="false"/>
          </w:tcPr>
          <w:p>
            <w:pPr>
              <w:ind w:left="170" w:right="170"/>
              <w:jc w:val="both"/>
              <w:spacing w:before="40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№ кадастрового квартала (нескольких смежных кадастровых кварталов)</w:t>
            </w:r>
            <w:r>
              <w:rPr>
                <w:rStyle w:val="738"/>
                <w:sz w:val="24"/>
                <w:szCs w:val="24"/>
              </w:rPr>
              <w:endnoteReference w:customMarkFollows="1" w:id="2"/>
              <w:t xml:space="preserve">1</w:t>
            </w:r>
            <w:r>
              <w:rPr>
                <w:sz w:val="24"/>
                <w:szCs w:val="24"/>
              </w:rPr>
              <w:t xml:space="preserve">:</w:t>
            </w:r>
            <w:r>
              <w:rPr>
                <w:sz w:val="24"/>
                <w:szCs w:val="24"/>
              </w:rPr>
              <w:br/>
            </w:r>
            <w:r>
              <w:rPr>
                <w:sz w:val="2"/>
                <w:szCs w:val="2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0" w:type="dxa"/>
            <w:vAlign w:val="bottom"/>
            <w:textDirection w:val="lrTb"/>
            <w:noWrap w:val="false"/>
          </w:tcPr>
          <w:p>
            <w:pPr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  <w:sz w:val="24"/>
                <w:szCs w:val="22"/>
              </w:rPr>
              <w:t xml:space="preserve">СНТ «</w:t>
            </w:r>
            <w:r>
              <w:rPr>
                <w:b/>
                <w:color w:val="000000"/>
                <w:sz w:val="24"/>
                <w:szCs w:val="22"/>
              </w:rPr>
              <w:t xml:space="preserve">Ветеран СЭМ</w:t>
            </w:r>
            <w:r>
              <w:rPr>
                <w:b/>
                <w:color w:val="000000"/>
                <w:sz w:val="24"/>
                <w:szCs w:val="22"/>
              </w:rPr>
              <w:t xml:space="preserve">» </w:t>
            </w:r>
            <w:r>
              <w:rPr>
                <w:b/>
                <w:bCs/>
                <w:color w:val="000000"/>
                <w:sz w:val="24"/>
                <w:szCs w:val="22"/>
              </w:rPr>
              <w:t xml:space="preserve">70:14:0</w:t>
            </w:r>
            <w:r>
              <w:rPr>
                <w:b/>
                <w:bCs/>
                <w:color w:val="000000"/>
                <w:sz w:val="24"/>
                <w:szCs w:val="22"/>
              </w:rPr>
              <w:t xml:space="preserve">341001</w:t>
            </w:r>
            <w:r>
              <w:rPr>
                <w:b/>
                <w:color w:val="000000"/>
                <w:sz w:val="22"/>
                <w:szCs w:val="22"/>
                <w:lang w:eastAsia="ru-RU"/>
              </w:rPr>
            </w:r>
          </w:p>
          <w:p>
            <w:pPr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</w:r>
            <w:r>
              <w:rPr>
                <w:b/>
                <w:color w:val="000000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9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4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0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(Иные сведения, позволяющие определить местоположение территории, на которой</w:t>
            </w:r>
            <w:r>
              <w:rPr>
                <w:i/>
                <w:i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4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0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738"/>
                <w:i/>
                <w:iCs/>
              </w:rPr>
              <w:endnoteReference w:customMarkFollows="1" w:id="3"/>
              <w:t xml:space="preserve">2</w:t>
            </w:r>
            <w:r>
              <w:rPr>
                <w:i/>
                <w:iCs/>
              </w:rPr>
              <w:t xml:space="preserve">)</w:t>
            </w:r>
            <w:r>
              <w:rPr>
                <w:i/>
                <w:i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/>
              <w:jc w:val="both"/>
              <w:spacing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соответствии с </w:t>
            </w:r>
            <w:r>
              <w:rPr>
                <w:sz w:val="24"/>
                <w:szCs w:val="24"/>
              </w:rPr>
              <w:t xml:space="preserve">муниципальным контрактом</w:t>
            </w:r>
            <w:r>
              <w:rPr>
                <w:sz w:val="24"/>
                <w:szCs w:val="24"/>
              </w:rPr>
              <w:t xml:space="preserve">, заключенным </w:t>
            </w:r>
            <w:r>
              <w:rPr>
                <w:sz w:val="24"/>
                <w:szCs w:val="24"/>
              </w:rPr>
              <w:t xml:space="preserve">между </w:t>
            </w:r>
            <w:r>
              <w:rPr>
                <w:b/>
                <w:sz w:val="24"/>
                <w:szCs w:val="24"/>
              </w:rPr>
              <w:t xml:space="preserve">Администраци</w:t>
            </w:r>
            <w:r>
              <w:rPr>
                <w:b/>
                <w:sz w:val="24"/>
                <w:szCs w:val="24"/>
              </w:rPr>
              <w:t xml:space="preserve">ей</w:t>
            </w:r>
            <w:r>
              <w:rPr>
                <w:b/>
                <w:sz w:val="24"/>
                <w:szCs w:val="24"/>
              </w:rPr>
              <w:t xml:space="preserve"> Томского район</w:t>
            </w:r>
            <w:r>
              <w:rPr>
                <w:b/>
                <w:sz w:val="24"/>
                <w:szCs w:val="24"/>
              </w:rPr>
              <w:t xml:space="preserve">а</w:t>
            </w:r>
            <w:r>
              <w:rPr>
                <w:b/>
                <w:sz w:val="24"/>
                <w:szCs w:val="24"/>
              </w:rPr>
              <w:t xml:space="preserve"> и </w:t>
            </w:r>
            <w:r>
              <w:rPr>
                <w:b/>
                <w:sz w:val="24"/>
                <w:szCs w:val="24"/>
              </w:rPr>
              <w:t xml:space="preserve">ООО</w:t>
            </w:r>
            <w:r>
              <w:rPr>
                <w:b/>
                <w:sz w:val="24"/>
                <w:szCs w:val="24"/>
              </w:rPr>
              <w:t xml:space="preserve"> «</w:t>
            </w:r>
            <w:r>
              <w:rPr>
                <w:b/>
                <w:sz w:val="24"/>
                <w:szCs w:val="24"/>
              </w:rPr>
              <w:t xml:space="preserve">ГЕОЦЕНТР</w:t>
            </w:r>
            <w:r>
              <w:rPr>
                <w:b/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5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465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7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</w:t>
            </w:r>
            <w:r>
              <w:rPr>
                <w:b/>
                <w:sz w:val="24"/>
                <w:szCs w:val="24"/>
              </w:rPr>
              <w:t xml:space="preserve">8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41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июля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3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624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. №</w:t>
            </w:r>
            <w:r>
              <w:rPr>
                <w:sz w:val="24"/>
                <w:szCs w:val="24"/>
              </w:rPr>
            </w:r>
          </w:p>
        </w:tc>
        <w:tc>
          <w:tcPr>
            <w:gridSpan w:val="10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63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109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17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Style w:val="738"/>
                <w:sz w:val="24"/>
                <w:szCs w:val="24"/>
              </w:rPr>
              <w:endnoteReference w:customMarkFollows="1" w:id="4"/>
              <w:t xml:space="preserve"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кадастровые работы.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6345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15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Томская область, Томский район,</w:t>
            </w:r>
            <w:r>
              <w:t xml:space="preserve">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с.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Богашево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, ул.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Советска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я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6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,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Администрация </w:t>
            </w:r>
            <w:r>
              <w:rPr>
                <w:b/>
                <w:sz w:val="24"/>
                <w:szCs w:val="24"/>
              </w:rPr>
              <w:t xml:space="preserve">Богаше</w:t>
            </w:r>
            <w:r>
              <w:rPr>
                <w:b/>
                <w:sz w:val="24"/>
                <w:szCs w:val="24"/>
              </w:rPr>
              <w:t xml:space="preserve">вского</w:t>
            </w:r>
            <w:r>
              <w:rPr>
                <w:b/>
                <w:sz w:val="24"/>
                <w:szCs w:val="24"/>
              </w:rPr>
              <w:t xml:space="preserve"> сельского поселения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40" w:type="dxa"/>
            <w:vAlign w:val="bottom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9640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(Адрес работы согласительной комиссии)</w:t>
            </w:r>
            <w:r>
              <w:rPr>
                <w:i/>
                <w:iCs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  <w:r>
              <w:rPr>
                <w:sz w:val="2"/>
                <w:szCs w:val="2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Томского района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71" w:type="dxa"/>
            <w:vAlign w:val="bottom"/>
            <w:textDirection w:val="lrTb"/>
            <w:noWrap w:val="false"/>
          </w:tcPr>
          <w:p>
            <w:pPr>
              <w:pStyle w:val="713"/>
              <w:ind w:left="0" w:right="-30"/>
              <w:jc w:val="left"/>
              <w:spacing w:line="255" w:lineRule="atLeast"/>
              <w:shd w:val="clear" w:color="auto" w:fill="ffffff"/>
              <w:rPr>
                <w:sz w:val="24"/>
                <w:szCs w:val="24"/>
              </w:rPr>
            </w:pPr>
            <w:r/>
            <w:hyperlink r:id="rId10" w:tooltip="http://www.tradm.ru" w:history="1">
              <w:r>
                <w:rPr>
                  <w:rStyle w:val="730"/>
                  <w:color w:val="auto"/>
                  <w:szCs w:val="26"/>
                </w:rPr>
                <w:t xml:space="preserve">http://www.tradm.ru</w:t>
              </w:r>
            </w:hyperlink>
            <w:r>
              <w:rPr>
                <w:rStyle w:val="730"/>
                <w:color w:val="auto"/>
                <w:szCs w:val="26"/>
              </w:rPr>
              <w:t xml:space="preserve">/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0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(Наименование заказчика комплексных кадастровых работ)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71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(Адрес сайта)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Департамента по управлению государственной собственностью Томской области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71" w:type="dxa"/>
            <w:vAlign w:val="bottom"/>
            <w:textDirection w:val="lrTb"/>
            <w:noWrap w:val="false"/>
          </w:tcPr>
          <w:p>
            <w:pPr>
              <w:pStyle w:val="713"/>
              <w:ind w:left="0"/>
              <w:spacing w:line="360" w:lineRule="atLeast"/>
              <w:shd w:val="clear" w:color="auto" w:fill="ffffff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r>
          </w:p>
          <w:p>
            <w:pPr>
              <w:pStyle w:val="713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>
              <w:rPr>
                <w:szCs w:val="26"/>
                <w:lang w:val="en-US"/>
              </w:rPr>
              <w:t xml:space="preserve">https</w:t>
            </w:r>
            <w:r>
              <w:rPr>
                <w:szCs w:val="26"/>
              </w:rPr>
              <w:t xml:space="preserve">://</w:t>
            </w:r>
            <w:r>
              <w:rPr>
                <w:szCs w:val="26"/>
                <w:lang w:val="en-US"/>
              </w:rPr>
              <w:t xml:space="preserve">dugs</w:t>
            </w:r>
            <w:r>
              <w:rPr>
                <w:szCs w:val="26"/>
              </w:rPr>
              <w:t xml:space="preserve">.</w:t>
            </w:r>
            <w:r>
              <w:rPr>
                <w:szCs w:val="26"/>
                <w:lang w:val="en-US"/>
              </w:rPr>
              <w:t xml:space="preserve">tomsk</w:t>
            </w:r>
            <w:r>
              <w:rPr>
                <w:szCs w:val="26"/>
              </w:rPr>
              <w:t xml:space="preserve">.</w:t>
            </w:r>
            <w:r>
              <w:rPr>
                <w:szCs w:val="26"/>
                <w:lang w:val="en-US"/>
              </w:rPr>
              <w:t xml:space="preserve">gov</w:t>
            </w:r>
            <w:r>
              <w:rPr>
                <w:szCs w:val="26"/>
              </w:rPr>
              <w:t xml:space="preserve">.</w:t>
            </w:r>
            <w:r>
              <w:rPr>
                <w:szCs w:val="26"/>
                <w:lang w:val="en-US"/>
              </w:rPr>
              <w:t xml:space="preserve">ru</w:t>
            </w:r>
            <w:r>
              <w:rPr>
                <w:szCs w:val="26"/>
              </w:rPr>
              <w:t xml:space="preserve">/</w:t>
            </w:r>
            <w:r>
              <w:rPr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0" w:type="dxa"/>
            <w:textDirection w:val="lrTb"/>
            <w:noWrap w:val="false"/>
          </w:tcPr>
          <w:p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71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(Адрес сайта)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Управления Росреестра по Томской области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Филиала ФГБУ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«ФКП Росреестра»</w:t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 Томской области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771" w:type="dxa"/>
            <w:vAlign w:val="bottom"/>
            <w:textDirection w:val="lrTb"/>
            <w:noWrap w:val="false"/>
          </w:tcPr>
          <w:p>
            <w:pPr>
              <w:pStyle w:val="713"/>
              <w:ind w:left="0"/>
              <w:spacing w:line="360" w:lineRule="atLeast"/>
              <w:shd w:val="clear" w:color="auto" w:fill="ffffff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r>
          </w:p>
          <w:p>
            <w:pPr>
              <w:pStyle w:val="713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 xml:space="preserve">https://rosreestr.gov.ru/</w:t>
            </w:r>
            <w:r>
              <w:rPr>
                <w:szCs w:val="26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670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(Наименование органа кадастрового учета)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771" w:type="dxa"/>
            <w:textDirection w:val="lrTb"/>
            <w:noWrap w:val="false"/>
          </w:tcPr>
          <w:p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(Адрес сайта)</w:t>
            </w:r>
            <w:r>
              <w:rPr>
                <w:i/>
                <w:iCs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56" w:type="dxa"/>
            <w:textDirection w:val="lrTb"/>
            <w:noWrap w:val="false"/>
          </w:tcPr>
          <w:p>
            <w:pPr>
              <w:rPr>
                <w:i/>
                <w:iCs/>
              </w:rPr>
            </w:pP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rPr>
          <w:cantSplit/>
        </w:trPr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keepLines/>
              <w:spacing w:before="240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  <w:r>
              <w:rPr>
                <w:sz w:val="2"/>
                <w:szCs w:val="2"/>
              </w:rPr>
            </w:r>
          </w:p>
        </w:tc>
      </w:tr>
      <w:tr>
        <w:trPr/>
        <w:tc>
          <w:tcPr>
            <w:gridSpan w:val="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39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9640" w:type="dxa"/>
            <w:vAlign w:val="bottom"/>
            <w:textDirection w:val="lrTb"/>
            <w:noWrap w:val="false"/>
          </w:tcPr>
          <w:p>
            <w:pPr>
              <w:rPr>
                <w:b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</w:rPr>
              <w:t xml:space="preserve">    </w:t>
            </w:r>
            <w:r>
              <w:rPr>
                <w:b/>
                <w:color w:val="000000"/>
                <w:sz w:val="24"/>
                <w:szCs w:val="22"/>
              </w:rPr>
              <w:t xml:space="preserve">СНТ «Ветеран СЭМ» 70:14:0341001</w:t>
            </w:r>
            <w:r>
              <w:rPr>
                <w:b/>
                <w:color w:val="000000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18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2438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состоится по адресу:</w:t>
            </w:r>
            <w:r>
              <w:rPr>
                <w:sz w:val="24"/>
                <w:szCs w:val="24"/>
              </w:rPr>
            </w:r>
          </w:p>
        </w:tc>
        <w:tc>
          <w:tcPr>
            <w:gridSpan w:val="2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372" w:type="dxa"/>
            <w:vAlign w:val="bottom"/>
            <w:textDirection w:val="lrTb"/>
            <w:noWrap w:val="false"/>
          </w:tcPr>
          <w:p>
            <w:pPr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>
              <w:rPr>
                <w:b/>
                <w:sz w:val="24"/>
                <w:szCs w:val="24"/>
                <w:shd w:val="clear" w:color="auto" w:fill="ffffff"/>
              </w:rPr>
              <w:t xml:space="preserve">634515, Томская область, Томский район, с. Богашево, ул. Советска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я</w:t>
            </w:r>
            <w:r>
              <w:rPr>
                <w:b/>
                <w:sz w:val="24"/>
                <w:szCs w:val="24"/>
                <w:shd w:val="clear" w:color="auto" w:fill="ffffff"/>
              </w:rPr>
              <w:t xml:space="preserve">, 6, Администрация Богашевского сельского поселения</w:t>
            </w:r>
            <w:r>
              <w:rPr>
                <w:b/>
                <w:sz w:val="24"/>
                <w:szCs w:val="24"/>
                <w:shd w:val="clear" w:color="auto" w:fill="ffffff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70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42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98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4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сентября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6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3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539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в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>
              <w:rPr>
                <w:b/>
                <w:sz w:val="24"/>
                <w:szCs w:val="24"/>
              </w:rPr>
              <w:t xml:space="preserve">0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5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часов</w:t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56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00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9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4480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минут.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keepLines/>
              <w:spacing w:before="20" w:after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keepLines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352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7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02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4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сентября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55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2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4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сентября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80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376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</w:t>
            </w:r>
            <w:r>
              <w:rPr>
                <w:rStyle w:val="738"/>
                <w:sz w:val="24"/>
                <w:szCs w:val="24"/>
              </w:rPr>
              <w:endnoteReference w:customMarkFollows="1" w:id="5"/>
              <w:t xml:space="preserve">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352" w:type="dxa"/>
            <w:vAlign w:val="bottom"/>
            <w:textDirection w:val="lrTb"/>
            <w:noWrap w:val="false"/>
          </w:tcPr>
          <w:p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87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</w:t>
            </w:r>
            <w:r>
              <w:rPr>
                <w:b/>
                <w:sz w:val="24"/>
                <w:szCs w:val="24"/>
              </w:rPr>
              <w:t xml:space="preserve">6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4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сентября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55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5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2" w:type="dxa"/>
            <w:vAlign w:val="bottom"/>
            <w:textDirection w:val="lrTb"/>
            <w:noWrap w:val="false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«</w:t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9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31</w:t>
            </w:r>
            <w:bookmarkStart w:id="0" w:name="_GoBack"/>
            <w:r/>
            <w:bookmarkEnd w:id="0"/>
            <w:r/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gridSpan w:val="3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247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ок</w:t>
            </w:r>
            <w:r>
              <w:rPr>
                <w:b/>
                <w:sz w:val="24"/>
                <w:szCs w:val="24"/>
              </w:rPr>
              <w:t xml:space="preserve">тября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1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680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202</w:t>
            </w:r>
            <w:r>
              <w:rPr>
                <w:b/>
                <w:sz w:val="24"/>
                <w:szCs w:val="24"/>
              </w:rPr>
              <w:t xml:space="preserve">4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gridSpan w:val="4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3376" w:type="dxa"/>
            <w:vAlign w:val="bottom"/>
            <w:textDirection w:val="lrTb"/>
            <w:noWrap w:val="false"/>
          </w:tcPr>
          <w:p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rStyle w:val="738"/>
                <w:sz w:val="24"/>
                <w:szCs w:val="24"/>
              </w:rPr>
              <w:endnoteReference w:customMarkFollows="1" w:id="6"/>
              <w:t xml:space="preserve">5</w:t>
            </w:r>
            <w:r>
              <w:rPr>
                <w:sz w:val="24"/>
                <w:szCs w:val="24"/>
              </w:rPr>
            </w:r>
          </w:p>
        </w:tc>
      </w:tr>
      <w:tr>
        <w:trPr>
          <w:cantSplit/>
        </w:trPr>
        <w:tc>
          <w:tcPr>
            <w:gridSpan w:val="42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keepLines/>
              <w:spacing w:before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738"/>
                <w:sz w:val="24"/>
                <w:szCs w:val="24"/>
              </w:rPr>
              <w:endnoteReference w:customMarkFollows="1" w:id="7"/>
              <w:t xml:space="preserve"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 xml:space="preserve">включают в себя сведения</w:t>
            </w:r>
            <w:r>
              <w:rPr>
                <w:spacing w:val="-4"/>
                <w:sz w:val="24"/>
                <w:szCs w:val="24"/>
              </w:rPr>
              <w:t xml:space="preserve">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</w:t>
            </w:r>
            <w:r>
              <w:rPr>
                <w:spacing w:val="-4"/>
                <w:sz w:val="24"/>
                <w:szCs w:val="24"/>
              </w:rPr>
              <w:t xml:space="preserve">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</w:t>
            </w:r>
            <w:r>
              <w:rPr>
                <w:spacing w:val="-4"/>
                <w:sz w:val="24"/>
                <w:szCs w:val="24"/>
              </w:rPr>
              <w:t xml:space="preserve">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gridSpan w:val="42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80" w:type="dxa"/>
            <w:vAlign w:val="bottom"/>
            <w:textDirection w:val="lrTb"/>
            <w:noWrap w:val="false"/>
          </w:tcPr>
          <w:p>
            <w:pPr>
              <w:ind w:left="170" w:right="170" w:firstLine="567"/>
              <w:jc w:val="both"/>
              <w:keepLines/>
              <w:spacing w:after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отсутствия таких возражений местоположение границ земельных участков считается согласованным.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426" w:right="851" w:bottom="426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  <w:endnote w:id="2">
    <w:p>
      <w:pPr>
        <w:pStyle w:val="736"/>
        <w:ind w:firstLine="567"/>
        <w:jc w:val="both"/>
      </w:pPr>
      <w:r>
        <w:rPr>
          <w:rStyle w:val="738"/>
        </w:rPr>
        <w:t xml:space="preserve">1</w:t>
      </w:r>
      <w:r>
        <w:rPr>
          <w:lang w:val="en-US"/>
        </w:rPr>
        <w:t xml:space="preserve"> </w:t>
      </w:r>
      <w:r>
        <w:t xml:space="preserve"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  <w:r/>
      <w:r/>
    </w:p>
    <w:p>
      <w:pPr>
        <w:pStyle w:val="736"/>
        <w:ind w:firstLine="567"/>
        <w:jc w:val="both"/>
      </w:pPr>
      <w:r>
        <w:rPr>
          <w:rStyle w:val="738"/>
        </w:rPr>
        <w:t xml:space="preserve">2</w:t>
      </w:r>
      <w:r>
        <w:rPr>
          <w:lang w:val="en-US"/>
        </w:rPr>
        <w:t xml:space="preserve"> </w:t>
      </w:r>
      <w:r>
        <w:t xml:space="preserve"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  <w:r/>
      <w:r/>
    </w:p>
    <w:p>
      <w:pPr>
        <w:pStyle w:val="736"/>
        <w:ind w:firstLine="567"/>
        <w:jc w:val="both"/>
      </w:pPr>
      <w:r>
        <w:t xml:space="preserve">Если выполнение комплексных кадастровых работ запланировано на территории веде</w:t>
      </w:r>
      <w:r>
        <w:t xml:space="preserve">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  <w:r/>
      <w:r/>
    </w:p>
    <w:p>
      <w:pPr>
        <w:pStyle w:val="736"/>
        <w:ind w:firstLine="567"/>
        <w:jc w:val="both"/>
      </w:pPr>
      <w:r>
        <w:t xml:space="preserve"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  <w:r/>
      <w:r/>
    </w:p>
    <w:p>
      <w:pPr>
        <w:pStyle w:val="736"/>
        <w:ind w:firstLine="567"/>
        <w:jc w:val="both"/>
      </w:pPr>
      <w:r>
        <w:rPr>
          <w:rStyle w:val="738"/>
        </w:rPr>
        <w:t xml:space="preserve">3</w:t>
      </w:r>
      <w:r>
        <w:rPr>
          <w:lang w:val="en-US"/>
        </w:rPr>
        <w:t xml:space="preserve"> </w:t>
      </w:r>
      <w:r>
        <w:t xml:space="preserve">Указывается при наличии.</w:t>
      </w:r>
      <w:r/>
      <w:r/>
    </w:p>
    <w:p>
      <w:pPr>
        <w:pStyle w:val="736"/>
        <w:ind w:firstLine="567"/>
        <w:jc w:val="both"/>
      </w:pPr>
      <w:r>
        <w:rPr>
          <w:rStyle w:val="738"/>
        </w:rPr>
        <w:t xml:space="preserve">4</w:t>
      </w:r>
      <w:r>
        <w:rPr>
          <w:lang w:val="en-US"/>
        </w:rPr>
        <w:t xml:space="preserve"> </w:t>
      </w:r>
      <w:r>
        <w:t xml:space="preserve"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  <w:r/>
      <w:r/>
    </w:p>
    <w:p>
      <w:pPr>
        <w:pStyle w:val="736"/>
        <w:ind w:firstLine="567"/>
        <w:jc w:val="both"/>
      </w:pPr>
      <w:r>
        <w:rPr>
          <w:rStyle w:val="738"/>
        </w:rPr>
        <w:t xml:space="preserve">5</w:t>
      </w:r>
      <w:r>
        <w:t xml:space="preserve"> Указывается период для представления возражений в согласительную комиссию – в течение тридцати пяти рабочих дней со дня проведения первого заседания согласительной комиссии.</w:t>
      </w:r>
      <w:r/>
      <w:r/>
    </w:p>
    <w:p>
      <w:pPr>
        <w:pStyle w:val="736"/>
        <w:ind w:firstLine="567"/>
        <w:jc w:val="both"/>
      </w:pPr>
      <w:r>
        <w:rPr>
          <w:rStyle w:val="738"/>
        </w:rPr>
        <w:t xml:space="preserve">6</w:t>
      </w:r>
      <w:r>
        <w:t xml:space="preserve"> Федеральный закон от 24 июля 2007 г. № 221-ФЗ </w:t>
      </w:r>
      <w:r>
        <w:t xml:space="preserve">«</w:t>
      </w:r>
      <w:r>
        <w:t xml:space="preserve">О государственном кадастре недвижимости</w:t>
      </w:r>
      <w:r>
        <w:t xml:space="preserve">»</w:t>
      </w:r>
      <w:r>
        <w:t xml:space="preserve"> (Собр</w:t>
      </w:r>
      <w:r>
        <w:t xml:space="preserve">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</w:t>
      </w:r>
      <w:r>
        <w:t xml:space="preserve">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  <w:r/>
      <w:r/>
    </w:p>
    <w:p>
      <w:pPr>
        <w:pStyle w:val="736"/>
        <w:ind w:firstLine="567"/>
        <w:jc w:val="both"/>
      </w:pPr>
      <w:r/>
      <w:r/>
    </w:p>
  </w:endnote>
  <w:endnote w:id="3">
    <w:p>
      <w:pPr>
        <w:pStyle w:val="736"/>
        <w:ind w:firstLine="567"/>
        <w:jc w:val="both"/>
      </w:pPr>
      <w:r/>
      <w:r/>
    </w:p>
  </w:endnote>
  <w:endnote w:id="4">
    <w:p>
      <w:pPr>
        <w:pStyle w:val="736"/>
        <w:ind w:firstLine="567"/>
        <w:jc w:val="both"/>
      </w:pPr>
      <w:r/>
      <w:r/>
    </w:p>
  </w:endnote>
  <w:endnote w:id="5">
    <w:p>
      <w:pPr>
        <w:pStyle w:val="736"/>
        <w:ind w:firstLine="567"/>
        <w:jc w:val="both"/>
      </w:pPr>
      <w:r/>
      <w:r/>
    </w:p>
  </w:endnote>
  <w:endnote w:id="6">
    <w:p>
      <w:pPr>
        <w:pStyle w:val="736"/>
        <w:ind w:firstLine="567"/>
        <w:jc w:val="both"/>
      </w:pPr>
      <w:r/>
      <w:r/>
    </w:p>
  </w:endnote>
  <w:endnote w:id="7">
    <w:p>
      <w:pPr>
        <w:pStyle w:val="736"/>
        <w:ind w:firstLine="567"/>
        <w:jc w:val="both"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pStyle w:val="713"/>
      <w:isLgl w:val="false"/>
      <w:suff w:val="tab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ind w:left="720" w:hanging="720"/>
        <w:tabs>
          <w:tab w:val="num" w:pos="72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ind w:left="1008" w:hanging="1008"/>
        <w:tabs>
          <w:tab w:val="num" w:pos="1008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14"/>
    <w:link w:val="712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14"/>
    <w:link w:val="713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11"/>
    <w:next w:val="71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14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11"/>
    <w:next w:val="71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14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11"/>
    <w:next w:val="71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1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11"/>
    <w:next w:val="71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1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11"/>
    <w:next w:val="71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1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11"/>
    <w:next w:val="71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1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11"/>
    <w:next w:val="71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1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11"/>
    <w:uiPriority w:val="34"/>
    <w:qFormat/>
    <w:pPr>
      <w:contextualSpacing/>
      <w:ind w:left="720"/>
    </w:pPr>
  </w:style>
  <w:style w:type="paragraph" w:styleId="34">
    <w:name w:val="Title"/>
    <w:basedOn w:val="711"/>
    <w:next w:val="71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14"/>
    <w:link w:val="34"/>
    <w:uiPriority w:val="10"/>
    <w:rPr>
      <w:sz w:val="48"/>
      <w:szCs w:val="48"/>
    </w:rPr>
  </w:style>
  <w:style w:type="paragraph" w:styleId="36">
    <w:name w:val="Subtitle"/>
    <w:basedOn w:val="711"/>
    <w:next w:val="71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14"/>
    <w:link w:val="36"/>
    <w:uiPriority w:val="11"/>
    <w:rPr>
      <w:sz w:val="24"/>
      <w:szCs w:val="24"/>
    </w:rPr>
  </w:style>
  <w:style w:type="paragraph" w:styleId="38">
    <w:name w:val="Quote"/>
    <w:basedOn w:val="711"/>
    <w:next w:val="71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11"/>
    <w:next w:val="71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1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714"/>
    <w:link w:val="42"/>
    <w:uiPriority w:val="99"/>
  </w:style>
  <w:style w:type="paragraph" w:styleId="44">
    <w:name w:val="Footer"/>
    <w:basedOn w:val="71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714"/>
    <w:link w:val="44"/>
    <w:uiPriority w:val="99"/>
  </w:style>
  <w:style w:type="paragraph" w:styleId="46">
    <w:name w:val="Caption"/>
    <w:basedOn w:val="711"/>
    <w:next w:val="71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1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1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1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1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1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14"/>
    <w:uiPriority w:val="99"/>
    <w:unhideWhenUsed/>
    <w:rPr>
      <w:vertAlign w:val="superscript"/>
    </w:rPr>
  </w:style>
  <w:style w:type="character" w:styleId="179">
    <w:name w:val="Endnote Text Char"/>
    <w:link w:val="736"/>
    <w:uiPriority w:val="99"/>
    <w:rPr>
      <w:sz w:val="20"/>
    </w:rPr>
  </w:style>
  <w:style w:type="paragraph" w:styleId="181">
    <w:name w:val="toc 1"/>
    <w:basedOn w:val="711"/>
    <w:next w:val="71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11"/>
    <w:next w:val="71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11"/>
    <w:next w:val="71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11"/>
    <w:next w:val="71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11"/>
    <w:next w:val="71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11"/>
    <w:next w:val="71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11"/>
    <w:next w:val="71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11"/>
    <w:next w:val="71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11"/>
    <w:next w:val="71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11"/>
    <w:next w:val="711"/>
    <w:uiPriority w:val="99"/>
    <w:unhideWhenUsed/>
    <w:pPr>
      <w:spacing w:after="0" w:afterAutospacing="0"/>
    </w:pPr>
  </w:style>
  <w:style w:type="paragraph" w:styleId="71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712">
    <w:name w:val="Heading 1"/>
    <w:basedOn w:val="711"/>
    <w:next w:val="711"/>
    <w:link w:val="729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713">
    <w:name w:val="Heading 2"/>
    <w:basedOn w:val="718"/>
    <w:next w:val="718"/>
    <w:link w:val="717"/>
    <w:qFormat/>
    <w:pPr>
      <w:numPr>
        <w:ilvl w:val="1"/>
        <w:numId w:val="1"/>
      </w:numPr>
      <w:jc w:val="center"/>
      <w:keepNext/>
      <w:outlineLvl w:val="1"/>
    </w:pPr>
    <w:rPr>
      <w:sz w:val="26"/>
    </w:rPr>
  </w:style>
  <w:style w:type="character" w:styleId="714" w:default="1">
    <w:name w:val="Default Paragraph Font"/>
    <w:uiPriority w:val="1"/>
    <w:semiHidden/>
    <w:unhideWhenUsed/>
  </w:style>
  <w:style w:type="table" w:styleId="71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6" w:default="1">
    <w:name w:val="No List"/>
    <w:uiPriority w:val="99"/>
    <w:semiHidden/>
    <w:unhideWhenUsed/>
  </w:style>
  <w:style w:type="character" w:styleId="717" w:customStyle="1">
    <w:name w:val="Заголовок 2 Знак"/>
    <w:basedOn w:val="714"/>
    <w:link w:val="713"/>
    <w:rPr>
      <w:rFonts w:ascii="Times New Roman" w:hAnsi="Times New Roman" w:eastAsia="Arial" w:cs="Times New Roman"/>
      <w:sz w:val="26"/>
      <w:szCs w:val="20"/>
      <w:lang w:eastAsia="ar-SA"/>
    </w:rPr>
  </w:style>
  <w:style w:type="paragraph" w:styleId="718" w:customStyle="1">
    <w:name w:val="Обычный1"/>
    <w:pPr>
      <w:spacing w:after="0" w:line="240" w:lineRule="auto"/>
    </w:pPr>
    <w:rPr>
      <w:rFonts w:ascii="Times New Roman" w:hAnsi="Times New Roman" w:eastAsia="Arial" w:cs="Times New Roman"/>
      <w:sz w:val="20"/>
      <w:szCs w:val="20"/>
      <w:lang w:eastAsia="ar-SA"/>
    </w:rPr>
  </w:style>
  <w:style w:type="paragraph" w:styleId="719" w:customStyle="1">
    <w:name w:val="Основной текст1"/>
    <w:basedOn w:val="718"/>
    <w:rPr>
      <w:b/>
      <w:sz w:val="24"/>
    </w:rPr>
  </w:style>
  <w:style w:type="paragraph" w:styleId="720" w:customStyle="1">
    <w:name w:val="реквизитПодпись"/>
    <w:basedOn w:val="718"/>
    <w:pPr>
      <w:spacing w:before="360"/>
      <w:tabs>
        <w:tab w:val="left" w:pos="6804" w:leader="none"/>
      </w:tabs>
    </w:pPr>
    <w:rPr>
      <w:sz w:val="24"/>
    </w:rPr>
  </w:style>
  <w:style w:type="paragraph" w:styleId="721" w:customStyle="1">
    <w:name w:val="Название1"/>
    <w:basedOn w:val="718"/>
    <w:pPr>
      <w:jc w:val="center"/>
    </w:pPr>
    <w:rPr>
      <w:b/>
      <w:sz w:val="28"/>
    </w:rPr>
  </w:style>
  <w:style w:type="paragraph" w:styleId="722">
    <w:name w:val="Body Text Indent"/>
    <w:basedOn w:val="711"/>
    <w:link w:val="723"/>
    <w:pPr>
      <w:ind w:left="283"/>
      <w:spacing w:after="120"/>
    </w:pPr>
  </w:style>
  <w:style w:type="character" w:styleId="723" w:customStyle="1">
    <w:name w:val="Основной текст с отступом Знак"/>
    <w:basedOn w:val="714"/>
    <w:link w:val="722"/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724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ar-SA"/>
    </w:rPr>
  </w:style>
  <w:style w:type="paragraph" w:styleId="725">
    <w:name w:val="Balloon Text"/>
    <w:basedOn w:val="711"/>
    <w:link w:val="726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726" w:customStyle="1">
    <w:name w:val="Текст выноски Знак"/>
    <w:basedOn w:val="714"/>
    <w:link w:val="725"/>
    <w:uiPriority w:val="99"/>
    <w:semiHidden/>
    <w:rPr>
      <w:rFonts w:ascii="Segoe UI" w:hAnsi="Segoe UI" w:eastAsia="Times New Roman" w:cs="Segoe UI"/>
      <w:sz w:val="18"/>
      <w:szCs w:val="18"/>
      <w:lang w:eastAsia="ar-SA"/>
    </w:rPr>
  </w:style>
  <w:style w:type="paragraph" w:styleId="727">
    <w:name w:val="Body Text"/>
    <w:basedOn w:val="711"/>
    <w:link w:val="728"/>
    <w:uiPriority w:val="99"/>
    <w:unhideWhenUsed/>
    <w:pPr>
      <w:spacing w:after="120"/>
    </w:pPr>
  </w:style>
  <w:style w:type="character" w:styleId="728" w:customStyle="1">
    <w:name w:val="Основной текст Знак"/>
    <w:basedOn w:val="714"/>
    <w:link w:val="727"/>
    <w:uiPriority w:val="99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729" w:customStyle="1">
    <w:name w:val="Заголовок 1 Знак"/>
    <w:basedOn w:val="714"/>
    <w:link w:val="712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  <w:lang w:eastAsia="ar-SA"/>
    </w:rPr>
  </w:style>
  <w:style w:type="character" w:styleId="730">
    <w:name w:val="Hyperlink"/>
    <w:basedOn w:val="714"/>
    <w:uiPriority w:val="99"/>
    <w:unhideWhenUsed/>
    <w:rPr>
      <w:color w:val="0563c1" w:themeColor="hyperlink"/>
      <w:u w:val="single"/>
    </w:rPr>
  </w:style>
  <w:style w:type="paragraph" w:styleId="731" w:customStyle="1">
    <w:name w:val="ConsPlusNormal"/>
    <w:link w:val="732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732" w:customStyle="1">
    <w:name w:val="ConsPlusNormal Знак"/>
    <w:link w:val="731"/>
    <w:uiPriority w:val="99"/>
    <w:rPr>
      <w:rFonts w:ascii="Arial" w:hAnsi="Arial" w:eastAsia="Times New Roman" w:cs="Arial"/>
      <w:sz w:val="20"/>
      <w:szCs w:val="20"/>
      <w:lang w:eastAsia="ru-RU"/>
    </w:rPr>
  </w:style>
  <w:style w:type="paragraph" w:styleId="733">
    <w:name w:val="Normal (Web)"/>
    <w:basedOn w:val="711"/>
    <w:uiPriority w:val="99"/>
    <w:semiHidden/>
    <w:unhideWhenUsed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styleId="734" w:customStyle="1">
    <w:name w:val="Знак1"/>
    <w:basedOn w:val="711"/>
    <w:rPr>
      <w:rFonts w:ascii="Verdana" w:hAnsi="Verdana" w:cs="Verdana"/>
      <w:lang w:val="en-US" w:eastAsia="en-US"/>
    </w:rPr>
  </w:style>
  <w:style w:type="paragraph" w:styleId="735" w:customStyle="1">
    <w:name w:val="Стандарт"/>
    <w:basedOn w:val="711"/>
    <w:pPr>
      <w:ind w:firstLine="709"/>
      <w:jc w:val="both"/>
      <w:spacing w:line="288" w:lineRule="auto"/>
    </w:pPr>
    <w:rPr>
      <w:sz w:val="28"/>
      <w:szCs w:val="24"/>
      <w:lang w:eastAsia="ru-RU"/>
    </w:rPr>
  </w:style>
  <w:style w:type="paragraph" w:styleId="736">
    <w:name w:val="endnote text"/>
    <w:basedOn w:val="711"/>
    <w:link w:val="737"/>
    <w:uiPriority w:val="99"/>
    <w:rPr>
      <w:lang w:eastAsia="ru-RU"/>
    </w:rPr>
  </w:style>
  <w:style w:type="character" w:styleId="737" w:customStyle="1">
    <w:name w:val="Текст концевой сноски Знак"/>
    <w:basedOn w:val="714"/>
    <w:link w:val="73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738">
    <w:name w:val="endnote reference"/>
    <w:basedOn w:val="714"/>
    <w:uiPriority w:val="99"/>
    <w:rPr>
      <w:rFonts w:cs="Times New Roman"/>
      <w:vertAlign w:val="superscript"/>
    </w:rPr>
  </w:style>
  <w:style w:type="table" w:styleId="739">
    <w:name w:val="Table Grid"/>
    <w:basedOn w:val="715"/>
    <w:uiPriority w:val="9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http://www.tradm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3CDD9-FD67-435C-BE2E-60F8F0789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Радькова Галина</dc:creator>
  <cp:revision>7</cp:revision>
  <dcterms:created xsi:type="dcterms:W3CDTF">2024-07-08T06:17:00Z</dcterms:created>
  <dcterms:modified xsi:type="dcterms:W3CDTF">2024-09-02T01:57:56Z</dcterms:modified>
</cp:coreProperties>
</file>