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7C075E" w:rsidP="00801A6E">
      <w:pPr>
        <w:spacing w:after="0" w:line="240" w:lineRule="auto"/>
        <w:jc w:val="center"/>
        <w:rPr>
          <w:rFonts w:cs="PT Astra Serif"/>
          <w:b/>
          <w:sz w:val="24"/>
          <w:szCs w:val="24"/>
        </w:rPr>
      </w:pPr>
    </w:p>
    <w:p w:rsidR="00EF5FAD" w:rsidRPr="00933D17" w:rsidP="00801A6E">
      <w:pPr>
        <w:spacing w:after="0" w:line="240" w:lineRule="auto"/>
        <w:jc w:val="center"/>
        <w:rPr>
          <w:rFonts w:cs="PT Astra Serif"/>
          <w:b/>
          <w:sz w:val="24"/>
          <w:szCs w:val="24"/>
        </w:rPr>
      </w:pPr>
      <w:r w:rsidRPr="00933D17">
        <w:rPr>
          <w:rFonts w:cs="PT Astra Serif"/>
          <w:b/>
          <w:sz w:val="24"/>
          <w:szCs w:val="24"/>
        </w:rPr>
        <w:t xml:space="preserve">В Томской области ведется подготовка к новой </w:t>
      </w:r>
      <w:r w:rsidRPr="00933D17">
        <w:rPr>
          <w:rFonts w:cs="PT Astra Serif"/>
          <w:b/>
          <w:sz w:val="24"/>
          <w:szCs w:val="24"/>
        </w:rPr>
        <w:t xml:space="preserve">кадастровой </w:t>
      </w:r>
      <w:r w:rsidRPr="00933D17" w:rsidR="00C07D29">
        <w:rPr>
          <w:rFonts w:cs="PT Astra Serif"/>
          <w:b/>
          <w:sz w:val="24"/>
          <w:szCs w:val="24"/>
        </w:rPr>
        <w:t>оценк</w:t>
      </w:r>
      <w:r w:rsidRPr="00933D17">
        <w:rPr>
          <w:rFonts w:cs="PT Astra Serif"/>
          <w:b/>
          <w:sz w:val="24"/>
          <w:szCs w:val="24"/>
        </w:rPr>
        <w:t>е</w:t>
      </w:r>
      <w:r w:rsidRPr="00933D17" w:rsidR="00C07D29">
        <w:rPr>
          <w:rFonts w:cs="PT Astra Serif"/>
          <w:b/>
          <w:sz w:val="24"/>
          <w:szCs w:val="24"/>
        </w:rPr>
        <w:t xml:space="preserve"> </w:t>
      </w:r>
    </w:p>
    <w:p w:rsidR="00390015" w:rsidRPr="00933D17" w:rsidP="00801A6E">
      <w:pPr>
        <w:spacing w:after="0" w:line="240" w:lineRule="auto"/>
        <w:jc w:val="center"/>
        <w:rPr>
          <w:rFonts w:cs="PT Astra Serif"/>
          <w:b/>
          <w:sz w:val="24"/>
          <w:szCs w:val="24"/>
        </w:rPr>
      </w:pPr>
      <w:r w:rsidRPr="00933D17">
        <w:rPr>
          <w:rFonts w:cs="PT Astra Serif"/>
          <w:b/>
          <w:sz w:val="24"/>
          <w:szCs w:val="24"/>
        </w:rPr>
        <w:t>земельных участков</w:t>
      </w:r>
      <w:r w:rsidRPr="00933D17" w:rsidR="00801A6E">
        <w:rPr>
          <w:rFonts w:cs="PT Astra Serif"/>
          <w:b/>
          <w:sz w:val="24"/>
          <w:szCs w:val="24"/>
        </w:rPr>
        <w:t xml:space="preserve"> в 2026 году</w:t>
      </w:r>
    </w:p>
    <w:p w:rsidR="00933D17" w:rsidP="00C371B3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 w:themeColor="text1"/>
          <w:sz w:val="24"/>
          <w:szCs w:val="24"/>
        </w:rPr>
      </w:pPr>
    </w:p>
    <w:p w:rsidR="00AA12E2" w:rsidRPr="00A969C0" w:rsidP="00C371B3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 w:themeColor="text1"/>
          <w:sz w:val="24"/>
          <w:szCs w:val="24"/>
        </w:rPr>
      </w:pPr>
      <w:r w:rsidRPr="00A969C0">
        <w:rPr>
          <w:rFonts w:eastAsia="Times New Roman" w:cs="PT Astra Serif"/>
          <w:color w:val="000000" w:themeColor="text1"/>
          <w:sz w:val="24"/>
          <w:szCs w:val="24"/>
        </w:rPr>
        <w:t xml:space="preserve">В </w:t>
      </w:r>
      <w:r w:rsidRPr="00A969C0" w:rsidR="00C07D29">
        <w:rPr>
          <w:rFonts w:eastAsia="Times New Roman" w:cs="PT Astra Serif"/>
          <w:color w:val="000000" w:themeColor="text1"/>
          <w:sz w:val="24"/>
          <w:szCs w:val="24"/>
        </w:rPr>
        <w:t xml:space="preserve">2026 году </w:t>
      </w:r>
      <w:r w:rsidRPr="00A969C0">
        <w:rPr>
          <w:rFonts w:eastAsia="Times New Roman" w:cs="PT Astra Serif"/>
          <w:color w:val="000000" w:themeColor="text1"/>
          <w:sz w:val="24"/>
          <w:szCs w:val="24"/>
        </w:rPr>
        <w:t xml:space="preserve">на </w:t>
      </w:r>
      <w:r w:rsidRPr="00A969C0" w:rsidR="00EF5FAD">
        <w:rPr>
          <w:rFonts w:eastAsia="Times New Roman" w:cs="PT Astra Serif"/>
          <w:color w:val="000000" w:themeColor="text1"/>
          <w:sz w:val="24"/>
          <w:szCs w:val="24"/>
        </w:rPr>
        <w:t>территории Томской области</w:t>
      </w:r>
      <w:r w:rsidRPr="00A969C0">
        <w:rPr>
          <w:rFonts w:eastAsia="Times New Roman" w:cs="PT Astra Serif"/>
          <w:color w:val="000000" w:themeColor="text1"/>
          <w:sz w:val="24"/>
          <w:szCs w:val="24"/>
        </w:rPr>
        <w:t xml:space="preserve"> будет </w:t>
      </w:r>
      <w:hyperlink r:id="rId5" w:tooltip="https://tomsk.gov.ru/documents/front/view/id/104619" w:history="1">
        <w:r w:rsidRPr="00A969C0">
          <w:rPr>
            <w:rFonts w:eastAsia="Times New Roman" w:cs="PT Astra Serif"/>
            <w:color w:val="000000" w:themeColor="text1"/>
            <w:sz w:val="24"/>
            <w:szCs w:val="24"/>
          </w:rPr>
          <w:t>проводит</w:t>
        </w:r>
        <w:r w:rsidRPr="00A969C0" w:rsidR="00F07EC7">
          <w:rPr>
            <w:rFonts w:eastAsia="Times New Roman" w:cs="PT Astra Serif"/>
            <w:color w:val="000000" w:themeColor="text1"/>
            <w:sz w:val="24"/>
            <w:szCs w:val="24"/>
          </w:rPr>
          <w:t>ь</w:t>
        </w:r>
        <w:r w:rsidRPr="00A969C0">
          <w:rPr>
            <w:rFonts w:eastAsia="Times New Roman" w:cs="PT Astra Serif"/>
            <w:color w:val="000000" w:themeColor="text1"/>
            <w:sz w:val="24"/>
            <w:szCs w:val="24"/>
          </w:rPr>
          <w:t xml:space="preserve">ся </w:t>
        </w:r>
      </w:hyperlink>
      <w:r w:rsidRPr="00A969C0" w:rsidR="00C07D29">
        <w:rPr>
          <w:rFonts w:eastAsia="Times New Roman" w:cs="PT Astra Serif"/>
          <w:color w:val="000000" w:themeColor="text1"/>
          <w:sz w:val="24"/>
          <w:szCs w:val="24"/>
        </w:rPr>
        <w:t xml:space="preserve">государственная кадастровая оценка </w:t>
      </w:r>
      <w:r w:rsidRPr="00A969C0" w:rsidR="00F42700">
        <w:rPr>
          <w:rFonts w:eastAsia="Times New Roman" w:cs="PT Astra Serif"/>
          <w:color w:val="000000" w:themeColor="text1"/>
          <w:sz w:val="24"/>
          <w:szCs w:val="24"/>
        </w:rPr>
        <w:t xml:space="preserve">в отношении </w:t>
      </w:r>
      <w:r w:rsidRPr="00A969C0" w:rsidR="00EF5FAD">
        <w:rPr>
          <w:rFonts w:eastAsia="Times New Roman" w:cs="PT Astra Serif"/>
          <w:color w:val="000000" w:themeColor="text1"/>
          <w:sz w:val="24"/>
          <w:szCs w:val="24"/>
        </w:rPr>
        <w:t xml:space="preserve">всех земельных участков </w:t>
      </w:r>
      <w:r w:rsidRPr="00A969C0" w:rsidR="00C07D29">
        <w:rPr>
          <w:rFonts w:eastAsia="Times New Roman" w:cs="PT Astra Serif"/>
          <w:color w:val="000000" w:themeColor="text1"/>
          <w:sz w:val="24"/>
          <w:szCs w:val="24"/>
        </w:rPr>
        <w:t>учтенных в Едином государственном рее</w:t>
      </w:r>
      <w:r w:rsidRPr="00A969C0">
        <w:rPr>
          <w:rFonts w:eastAsia="Times New Roman" w:cs="PT Astra Serif"/>
          <w:color w:val="000000" w:themeColor="text1"/>
          <w:sz w:val="24"/>
          <w:szCs w:val="24"/>
        </w:rPr>
        <w:t>стре недвижимости (ЕГРН)</w:t>
      </w:r>
      <w:r w:rsidRPr="00A969C0" w:rsidR="000F41F8">
        <w:rPr>
          <w:rFonts w:eastAsia="Times New Roman" w:cs="PT Astra Serif"/>
          <w:color w:val="000000" w:themeColor="text1"/>
          <w:sz w:val="24"/>
          <w:szCs w:val="24"/>
        </w:rPr>
        <w:t xml:space="preserve"> и расположенных на территории Томской области</w:t>
      </w:r>
      <w:r w:rsidRPr="00A969C0">
        <w:rPr>
          <w:rFonts w:eastAsia="Times New Roman" w:cs="PT Astra Serif"/>
          <w:color w:val="000000" w:themeColor="text1"/>
          <w:sz w:val="24"/>
          <w:szCs w:val="24"/>
        </w:rPr>
        <w:t xml:space="preserve">. </w:t>
      </w:r>
    </w:p>
    <w:p w:rsidR="00C371B3" w:rsidRPr="00A969C0" w:rsidP="00C371B3">
      <w:pPr>
        <w:shd w:val="clear" w:color="auto" w:fill="FFFFFF"/>
        <w:spacing w:after="0"/>
        <w:jc w:val="both"/>
        <w:rPr>
          <w:color w:val="000000" w:themeColor="text1"/>
          <w:sz w:val="24"/>
          <w:szCs w:val="24"/>
        </w:rPr>
      </w:pPr>
      <w:r w:rsidRPr="00A969C0">
        <w:rPr>
          <w:color w:val="000000" w:themeColor="text1"/>
          <w:sz w:val="24"/>
          <w:szCs w:val="24"/>
        </w:rPr>
        <w:t xml:space="preserve">           </w:t>
      </w:r>
      <w:r w:rsidRPr="00A969C0" w:rsidR="00EF5FAD">
        <w:rPr>
          <w:color w:val="000000" w:themeColor="text1"/>
          <w:sz w:val="24"/>
          <w:szCs w:val="24"/>
        </w:rPr>
        <w:t>Главн</w:t>
      </w:r>
      <w:r w:rsidRPr="00A969C0" w:rsidR="00793A47">
        <w:rPr>
          <w:color w:val="000000" w:themeColor="text1"/>
          <w:sz w:val="24"/>
          <w:szCs w:val="24"/>
        </w:rPr>
        <w:t>ой</w:t>
      </w:r>
      <w:r w:rsidRPr="00A969C0" w:rsidR="00EF5FAD">
        <w:rPr>
          <w:color w:val="000000" w:themeColor="text1"/>
          <w:sz w:val="24"/>
          <w:szCs w:val="24"/>
        </w:rPr>
        <w:t xml:space="preserve"> </w:t>
      </w:r>
      <w:r w:rsidRPr="00A969C0" w:rsidR="00A969C0">
        <w:rPr>
          <w:color w:val="000000" w:themeColor="text1"/>
          <w:sz w:val="24"/>
          <w:szCs w:val="24"/>
        </w:rPr>
        <w:t>задачей государственной кадастровой оценки является определение объективной</w:t>
      </w:r>
      <w:r w:rsidRPr="00A969C0" w:rsidR="00EF5FAD">
        <w:rPr>
          <w:color w:val="000000" w:themeColor="text1"/>
          <w:sz w:val="24"/>
          <w:szCs w:val="24"/>
        </w:rPr>
        <w:t xml:space="preserve"> и экономически обоснованн</w:t>
      </w:r>
      <w:r w:rsidRPr="00A969C0" w:rsidR="00A969C0">
        <w:rPr>
          <w:color w:val="000000" w:themeColor="text1"/>
          <w:sz w:val="24"/>
          <w:szCs w:val="24"/>
        </w:rPr>
        <w:t>ой</w:t>
      </w:r>
      <w:r w:rsidRPr="00A969C0" w:rsidR="00EF5FAD">
        <w:rPr>
          <w:color w:val="000000" w:themeColor="text1"/>
          <w:sz w:val="24"/>
          <w:szCs w:val="24"/>
        </w:rPr>
        <w:t xml:space="preserve"> стоимост</w:t>
      </w:r>
      <w:r w:rsidRPr="00A969C0" w:rsidR="00A969C0">
        <w:rPr>
          <w:color w:val="000000" w:themeColor="text1"/>
          <w:sz w:val="24"/>
          <w:szCs w:val="24"/>
        </w:rPr>
        <w:t xml:space="preserve">и </w:t>
      </w:r>
      <w:r w:rsidR="00A969C0">
        <w:rPr>
          <w:color w:val="000000" w:themeColor="text1"/>
          <w:sz w:val="24"/>
          <w:szCs w:val="24"/>
        </w:rPr>
        <w:t>земельных участков</w:t>
      </w:r>
      <w:r w:rsidRPr="00A969C0" w:rsidR="007E45B4">
        <w:rPr>
          <w:color w:val="000000" w:themeColor="text1"/>
          <w:sz w:val="24"/>
          <w:szCs w:val="24"/>
        </w:rPr>
        <w:t xml:space="preserve">, которая будет </w:t>
      </w:r>
      <w:r w:rsidRPr="00A969C0" w:rsidR="000D49A9">
        <w:rPr>
          <w:color w:val="000000" w:themeColor="text1"/>
          <w:sz w:val="24"/>
          <w:szCs w:val="24"/>
        </w:rPr>
        <w:t>применяться</w:t>
      </w:r>
      <w:r w:rsidRPr="00A969C0" w:rsidR="007E45B4">
        <w:rPr>
          <w:color w:val="000000" w:themeColor="text1"/>
          <w:sz w:val="24"/>
          <w:szCs w:val="24"/>
        </w:rPr>
        <w:t xml:space="preserve"> в качестве налогооблагаемой базы по земельн</w:t>
      </w:r>
      <w:r w:rsidRPr="00A969C0" w:rsidR="00783E36">
        <w:rPr>
          <w:color w:val="000000" w:themeColor="text1"/>
          <w:sz w:val="24"/>
          <w:szCs w:val="24"/>
        </w:rPr>
        <w:t>ому</w:t>
      </w:r>
      <w:r w:rsidRPr="00A969C0" w:rsidR="007E45B4">
        <w:rPr>
          <w:color w:val="000000" w:themeColor="text1"/>
          <w:sz w:val="24"/>
          <w:szCs w:val="24"/>
        </w:rPr>
        <w:t xml:space="preserve"> налог</w:t>
      </w:r>
      <w:r w:rsidRPr="00A969C0" w:rsidR="00783E36">
        <w:rPr>
          <w:color w:val="000000" w:themeColor="text1"/>
          <w:sz w:val="24"/>
          <w:szCs w:val="24"/>
        </w:rPr>
        <w:t>у</w:t>
      </w:r>
      <w:r w:rsidRPr="00A969C0" w:rsidR="007E45B4">
        <w:rPr>
          <w:color w:val="000000" w:themeColor="text1"/>
          <w:sz w:val="24"/>
          <w:szCs w:val="24"/>
        </w:rPr>
        <w:t xml:space="preserve">, а также </w:t>
      </w:r>
      <w:r w:rsidRPr="00A969C0" w:rsidR="007E45B4">
        <w:rPr>
          <w:color w:val="020B22"/>
          <w:sz w:val="24"/>
          <w:szCs w:val="24"/>
          <w:shd w:val="clear" w:color="auto" w:fill="FFFFFF"/>
        </w:rPr>
        <w:t>при определении величины арендной платы за землю и выкупной цены при продаже земельных участков, находящихся в публичной собственности</w:t>
      </w:r>
      <w:r w:rsidRPr="00A969C0" w:rsidR="00EF5FAD">
        <w:rPr>
          <w:color w:val="000000" w:themeColor="text1"/>
          <w:sz w:val="24"/>
          <w:szCs w:val="24"/>
        </w:rPr>
        <w:t xml:space="preserve">. </w:t>
      </w:r>
    </w:p>
    <w:p w:rsidR="0090455E" w:rsidP="004D5429">
      <w:pPr>
        <w:shd w:val="clear" w:color="auto" w:fill="FFFFFF"/>
        <w:spacing w:after="0"/>
        <w:jc w:val="both"/>
        <w:rPr>
          <w:color w:val="000000" w:themeColor="text1"/>
          <w:sz w:val="24"/>
          <w:szCs w:val="24"/>
        </w:rPr>
      </w:pPr>
      <w:r w:rsidRPr="00A969C0">
        <w:rPr>
          <w:color w:val="000000" w:themeColor="text1"/>
          <w:sz w:val="24"/>
          <w:szCs w:val="24"/>
        </w:rPr>
        <w:t xml:space="preserve">          Учреждением, уполномоченным на проведение государственной кадастров</w:t>
      </w:r>
      <w:r w:rsidRPr="00A969C0" w:rsidR="00542089">
        <w:rPr>
          <w:color w:val="000000" w:themeColor="text1"/>
          <w:sz w:val="24"/>
          <w:szCs w:val="24"/>
        </w:rPr>
        <w:t>ой оценки</w:t>
      </w:r>
      <w:r w:rsidRPr="00A969C0">
        <w:rPr>
          <w:color w:val="000000" w:themeColor="text1"/>
          <w:sz w:val="24"/>
          <w:szCs w:val="24"/>
        </w:rPr>
        <w:t xml:space="preserve"> в Томской области является О</w:t>
      </w:r>
      <w:r w:rsidRPr="00A969C0" w:rsidR="00783E36">
        <w:rPr>
          <w:color w:val="000000" w:themeColor="text1"/>
          <w:sz w:val="24"/>
          <w:szCs w:val="24"/>
        </w:rPr>
        <w:t xml:space="preserve">бластное государственное бюджетное учреждение </w:t>
      </w:r>
      <w:r w:rsidRPr="00A969C0">
        <w:rPr>
          <w:color w:val="000000" w:themeColor="text1"/>
          <w:sz w:val="24"/>
          <w:szCs w:val="24"/>
        </w:rPr>
        <w:t>«</w:t>
      </w:r>
      <w:r w:rsidRPr="00A969C0">
        <w:rPr>
          <w:rFonts w:eastAsia="Times New Roman" w:cs="PT Astra Serif"/>
          <w:color w:val="000000" w:themeColor="text1"/>
          <w:sz w:val="24"/>
          <w:szCs w:val="24"/>
        </w:rPr>
        <w:t>Томский областной центр инвентаризации и кадастра</w:t>
      </w:r>
      <w:r w:rsidRPr="00A969C0">
        <w:rPr>
          <w:color w:val="000000" w:themeColor="text1"/>
          <w:sz w:val="24"/>
          <w:szCs w:val="24"/>
        </w:rPr>
        <w:t>». В настоящее время его сотрудниками активно</w:t>
      </w:r>
      <w:r w:rsidRPr="00933D17">
        <w:rPr>
          <w:color w:val="000000" w:themeColor="text1"/>
          <w:sz w:val="24"/>
          <w:szCs w:val="24"/>
        </w:rPr>
        <w:t xml:space="preserve"> ведется работа по сбору </w:t>
      </w:r>
      <w:r w:rsidR="000D49A9">
        <w:rPr>
          <w:color w:val="000000" w:themeColor="text1"/>
          <w:sz w:val="24"/>
          <w:szCs w:val="24"/>
        </w:rPr>
        <w:t>рыночной</w:t>
      </w:r>
      <w:r w:rsidRPr="00933D17">
        <w:rPr>
          <w:color w:val="000000" w:themeColor="text1"/>
          <w:sz w:val="24"/>
          <w:szCs w:val="24"/>
        </w:rPr>
        <w:t xml:space="preserve"> информации о </w:t>
      </w:r>
      <w:r w:rsidR="000D49A9">
        <w:rPr>
          <w:color w:val="000000" w:themeColor="text1"/>
          <w:sz w:val="24"/>
          <w:szCs w:val="24"/>
        </w:rPr>
        <w:t>стоимости земельных участков</w:t>
      </w:r>
      <w:r w:rsidRPr="00933D17">
        <w:rPr>
          <w:color w:val="000000" w:themeColor="text1"/>
          <w:sz w:val="24"/>
          <w:szCs w:val="24"/>
        </w:rPr>
        <w:t>,</w:t>
      </w:r>
      <w:r w:rsidR="000D49A9">
        <w:rPr>
          <w:color w:val="000000" w:themeColor="text1"/>
          <w:sz w:val="24"/>
          <w:szCs w:val="24"/>
        </w:rPr>
        <w:t xml:space="preserve"> анализируются сделки с земельными участками, предоставленные Росреестром, уточняется вид фактического использования земельных участков</w:t>
      </w:r>
      <w:r>
        <w:rPr>
          <w:color w:val="000000" w:themeColor="text1"/>
          <w:sz w:val="24"/>
          <w:szCs w:val="24"/>
        </w:rPr>
        <w:t>,</w:t>
      </w:r>
      <w:r w:rsidR="000D49A9">
        <w:rPr>
          <w:color w:val="000000" w:themeColor="text1"/>
          <w:sz w:val="24"/>
          <w:szCs w:val="24"/>
        </w:rPr>
        <w:t xml:space="preserve"> путем направления запросов в муниципаль</w:t>
      </w:r>
      <w:r>
        <w:rPr>
          <w:color w:val="000000" w:themeColor="text1"/>
          <w:sz w:val="24"/>
          <w:szCs w:val="24"/>
        </w:rPr>
        <w:t>ные образования Томской области</w:t>
      </w:r>
      <w:r w:rsidRPr="00933D17" w:rsidR="00BB6005">
        <w:rPr>
          <w:color w:val="000000" w:themeColor="text1"/>
          <w:sz w:val="24"/>
          <w:szCs w:val="24"/>
        </w:rPr>
        <w:t>.</w:t>
      </w:r>
      <w:r w:rsidR="004D5429">
        <w:rPr>
          <w:color w:val="000000" w:themeColor="text1"/>
          <w:sz w:val="24"/>
          <w:szCs w:val="24"/>
        </w:rPr>
        <w:t xml:space="preserve"> </w:t>
      </w:r>
    </w:p>
    <w:p w:rsidR="0073659D" w:rsidRPr="007C075E" w:rsidP="00C371B3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Pr="00933D17" w:rsidR="00C371B3">
        <w:rPr>
          <w:color w:val="000000" w:themeColor="text1"/>
          <w:sz w:val="24"/>
          <w:szCs w:val="24"/>
        </w:rPr>
        <w:t xml:space="preserve">Кадастровая стоимость </w:t>
      </w:r>
      <w:r w:rsidRPr="00933D17" w:rsidR="00B710AB">
        <w:rPr>
          <w:color w:val="000000" w:themeColor="text1"/>
          <w:sz w:val="24"/>
          <w:szCs w:val="24"/>
        </w:rPr>
        <w:t xml:space="preserve">будет </w:t>
      </w:r>
      <w:r w:rsidRPr="00933D17" w:rsidR="00C371B3">
        <w:rPr>
          <w:color w:val="000000" w:themeColor="text1"/>
          <w:sz w:val="24"/>
          <w:szCs w:val="24"/>
        </w:rPr>
        <w:t>определ</w:t>
      </w:r>
      <w:r w:rsidR="00DD4813">
        <w:rPr>
          <w:color w:val="000000" w:themeColor="text1"/>
          <w:sz w:val="24"/>
          <w:szCs w:val="24"/>
        </w:rPr>
        <w:t>ена</w:t>
      </w:r>
      <w:r w:rsidRPr="00933D17" w:rsidR="00C371B3">
        <w:rPr>
          <w:color w:val="000000" w:themeColor="text1"/>
          <w:sz w:val="24"/>
          <w:szCs w:val="24"/>
        </w:rPr>
        <w:t xml:space="preserve"> </w:t>
      </w:r>
      <w:r w:rsidRPr="00933D17" w:rsidR="00EF5FAD">
        <w:rPr>
          <w:color w:val="000000" w:themeColor="text1"/>
          <w:sz w:val="24"/>
          <w:szCs w:val="24"/>
        </w:rPr>
        <w:t>метод</w:t>
      </w:r>
      <w:r w:rsidRPr="00933D17">
        <w:rPr>
          <w:color w:val="000000" w:themeColor="text1"/>
          <w:sz w:val="24"/>
          <w:szCs w:val="24"/>
        </w:rPr>
        <w:t>ами массовой оценки</w:t>
      </w:r>
      <w:r w:rsidRPr="00933D17" w:rsidR="00EF5FAD">
        <w:rPr>
          <w:color w:val="000000" w:themeColor="text1"/>
          <w:sz w:val="24"/>
          <w:szCs w:val="24"/>
        </w:rPr>
        <w:t xml:space="preserve">, </w:t>
      </w:r>
      <w:r w:rsidR="00DD4813">
        <w:rPr>
          <w:color w:val="000000" w:themeColor="text1"/>
          <w:sz w:val="24"/>
          <w:szCs w:val="24"/>
        </w:rPr>
        <w:t xml:space="preserve">с </w:t>
      </w:r>
      <w:r w:rsidRPr="007C075E" w:rsidR="00EF5FAD">
        <w:rPr>
          <w:color w:val="000000" w:themeColor="text1"/>
          <w:sz w:val="24"/>
          <w:szCs w:val="24"/>
        </w:rPr>
        <w:t>уч</w:t>
      </w:r>
      <w:r w:rsidR="00DD4813">
        <w:rPr>
          <w:color w:val="000000" w:themeColor="text1"/>
          <w:sz w:val="24"/>
          <w:szCs w:val="24"/>
        </w:rPr>
        <w:t xml:space="preserve">етом </w:t>
      </w:r>
      <w:r w:rsidRPr="007C075E" w:rsidR="00EF5FAD">
        <w:rPr>
          <w:color w:val="000000" w:themeColor="text1"/>
          <w:sz w:val="24"/>
          <w:szCs w:val="24"/>
        </w:rPr>
        <w:t>текущи</w:t>
      </w:r>
      <w:r w:rsidR="00DD4813">
        <w:rPr>
          <w:color w:val="000000" w:themeColor="text1"/>
          <w:sz w:val="24"/>
          <w:szCs w:val="24"/>
        </w:rPr>
        <w:t>х</w:t>
      </w:r>
      <w:r w:rsidRPr="007C075E" w:rsidR="00EF5FAD">
        <w:rPr>
          <w:color w:val="000000" w:themeColor="text1"/>
          <w:sz w:val="24"/>
          <w:szCs w:val="24"/>
        </w:rPr>
        <w:t xml:space="preserve"> </w:t>
      </w:r>
      <w:r w:rsidR="00DD4813">
        <w:rPr>
          <w:color w:val="000000" w:themeColor="text1"/>
          <w:sz w:val="24"/>
          <w:szCs w:val="24"/>
        </w:rPr>
        <w:t xml:space="preserve">тенденций развития </w:t>
      </w:r>
      <w:r w:rsidRPr="007C075E" w:rsidR="00EF5FAD">
        <w:rPr>
          <w:color w:val="000000" w:themeColor="text1"/>
          <w:sz w:val="24"/>
          <w:szCs w:val="24"/>
        </w:rPr>
        <w:t>рын</w:t>
      </w:r>
      <w:r w:rsidR="00DD4813">
        <w:rPr>
          <w:color w:val="000000" w:themeColor="text1"/>
          <w:sz w:val="24"/>
          <w:szCs w:val="24"/>
        </w:rPr>
        <w:t xml:space="preserve">ка </w:t>
      </w:r>
      <w:r w:rsidRPr="007C075E" w:rsidR="00EF5FAD">
        <w:rPr>
          <w:color w:val="000000" w:themeColor="text1"/>
          <w:sz w:val="24"/>
          <w:szCs w:val="24"/>
        </w:rPr>
        <w:t xml:space="preserve">и </w:t>
      </w:r>
      <w:r w:rsidR="00DD4813">
        <w:rPr>
          <w:color w:val="000000" w:themeColor="text1"/>
          <w:sz w:val="24"/>
          <w:szCs w:val="24"/>
        </w:rPr>
        <w:t xml:space="preserve">применением ряда </w:t>
      </w:r>
      <w:r w:rsidRPr="007C075E" w:rsidR="00EF5FAD">
        <w:rPr>
          <w:color w:val="000000" w:themeColor="text1"/>
          <w:sz w:val="24"/>
          <w:szCs w:val="24"/>
        </w:rPr>
        <w:t>ценообразующих факторов</w:t>
      </w:r>
      <w:r w:rsidR="00DD4813">
        <w:rPr>
          <w:color w:val="000000" w:themeColor="text1"/>
          <w:sz w:val="24"/>
          <w:szCs w:val="24"/>
        </w:rPr>
        <w:t xml:space="preserve">. </w:t>
      </w:r>
      <w:r w:rsidRPr="007C075E">
        <w:rPr>
          <w:color w:val="000000" w:themeColor="text1"/>
          <w:sz w:val="24"/>
          <w:szCs w:val="24"/>
        </w:rPr>
        <w:t>Основными факторами, влияющими на стоимость зем</w:t>
      </w:r>
      <w:r w:rsidRPr="007C075E" w:rsidR="00F42700">
        <w:rPr>
          <w:color w:val="000000" w:themeColor="text1"/>
          <w:sz w:val="24"/>
          <w:szCs w:val="24"/>
        </w:rPr>
        <w:t>ли,</w:t>
      </w:r>
      <w:r w:rsidRPr="007C075E">
        <w:rPr>
          <w:color w:val="000000" w:themeColor="text1"/>
          <w:sz w:val="24"/>
          <w:szCs w:val="24"/>
        </w:rPr>
        <w:t xml:space="preserve"> являются:</w:t>
      </w:r>
      <w:r w:rsidRPr="007C07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3659D" w:rsidRPr="007C075E" w:rsidP="00C371B3">
      <w:pPr>
        <w:shd w:val="clear" w:color="auto" w:fill="FFFFFF"/>
        <w:spacing w:after="0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7C075E">
        <w:rPr>
          <w:rFonts w:eastAsia="Times New Roman" w:cs="Times New Roman"/>
          <w:color w:val="000000"/>
          <w:sz w:val="24"/>
          <w:szCs w:val="24"/>
          <w:lang w:eastAsia="ru-RU"/>
        </w:rPr>
        <w:t>- вид разрешенного использования</w:t>
      </w:r>
      <w:r w:rsidRPr="007C075E" w:rsidR="00B710AB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(ВРИ)</w:t>
      </w:r>
      <w:r w:rsidRPr="007C075E">
        <w:rPr>
          <w:rFonts w:eastAsia="Times New Roman" w:cs="Times New Roman"/>
          <w:color w:val="000000"/>
          <w:sz w:val="24"/>
          <w:szCs w:val="24"/>
          <w:lang w:eastAsia="ru-RU"/>
        </w:rPr>
        <w:t>;</w:t>
      </w:r>
    </w:p>
    <w:p w:rsidR="0073659D" w:rsidRPr="00933D17" w:rsidP="00C371B3">
      <w:p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933D17">
        <w:rPr>
          <w:rFonts w:eastAsia="Times New Roman" w:cs="Times New Roman"/>
          <w:color w:val="000000"/>
          <w:sz w:val="24"/>
          <w:szCs w:val="24"/>
          <w:lang w:eastAsia="ru-RU"/>
        </w:rPr>
        <w:t>- местоположение;</w:t>
      </w:r>
    </w:p>
    <w:p w:rsidR="0073659D" w:rsidRPr="00933D17" w:rsidP="00C371B3">
      <w:pPr>
        <w:shd w:val="clear" w:color="auto" w:fill="FFFFFF"/>
        <w:spacing w:after="0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- площадь.</w:t>
      </w:r>
    </w:p>
    <w:p w:rsidR="00F42700" w:rsidRPr="00933D17" w:rsidP="00C371B3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/>
          <w:sz w:val="24"/>
          <w:szCs w:val="24"/>
        </w:rPr>
      </w:pPr>
      <w:r w:rsidRPr="00933D17">
        <w:rPr>
          <w:rFonts w:eastAsia="Times New Roman" w:cs="PT Astra Serif"/>
          <w:color w:val="000000"/>
          <w:sz w:val="24"/>
          <w:szCs w:val="24"/>
        </w:rPr>
        <w:t xml:space="preserve">Для того, чтобы при проведении государственной кадастровой оценки были учтены фактические характеристики объекта недвижимости, способные существенным образом повлиять на величину кадастровой стоимости, в случае </w:t>
      </w:r>
      <w:r w:rsidRPr="00933D17" w:rsidR="00C371B3">
        <w:rPr>
          <w:rFonts w:eastAsia="Times New Roman" w:cs="PT Astra Serif"/>
          <w:color w:val="000000"/>
          <w:sz w:val="24"/>
          <w:szCs w:val="24"/>
        </w:rPr>
        <w:t xml:space="preserve">выявления 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несоответствия сведений, содержащихся в ЕГРН фактическим данным, </w:t>
      </w:r>
      <w:r w:rsidR="00E019A0">
        <w:rPr>
          <w:rFonts w:eastAsia="Times New Roman" w:cs="PT Astra Serif"/>
          <w:color w:val="000000"/>
          <w:sz w:val="24"/>
          <w:szCs w:val="24"/>
        </w:rPr>
        <w:t xml:space="preserve">правообладателям </w:t>
      </w:r>
      <w:r w:rsidRPr="00933D17" w:rsidR="003F476E">
        <w:rPr>
          <w:rFonts w:eastAsia="Times New Roman" w:cs="PT Astra Serif"/>
          <w:color w:val="000000"/>
          <w:sz w:val="24"/>
          <w:szCs w:val="24"/>
        </w:rPr>
        <w:t>рекомендуется</w:t>
      </w:r>
      <w:r w:rsidR="003F476E">
        <w:rPr>
          <w:rFonts w:eastAsia="Times New Roman" w:cs="PT Astra Serif"/>
          <w:color w:val="000000"/>
          <w:sz w:val="24"/>
          <w:szCs w:val="24"/>
        </w:rPr>
        <w:t xml:space="preserve"> </w:t>
      </w:r>
      <w:r w:rsidRPr="00933D17">
        <w:rPr>
          <w:rFonts w:eastAsia="Times New Roman" w:cs="PT Astra Serif"/>
          <w:color w:val="000000"/>
          <w:sz w:val="24"/>
          <w:szCs w:val="24"/>
        </w:rPr>
        <w:t>в установленном законодательством порядке внести изменения, касающиеся характеристик об</w:t>
      </w:r>
      <w:r w:rsidR="00DD4813">
        <w:rPr>
          <w:rFonts w:eastAsia="Times New Roman" w:cs="PT Astra Serif"/>
          <w:color w:val="000000"/>
          <w:sz w:val="24"/>
          <w:szCs w:val="24"/>
        </w:rPr>
        <w:t xml:space="preserve">ъекта недвижимости в ЕГРН, что позволит снизить </w:t>
      </w:r>
      <w:r w:rsidR="00501A2B">
        <w:rPr>
          <w:rFonts w:eastAsia="Times New Roman" w:cs="PT Astra Serif"/>
          <w:color w:val="000000"/>
          <w:sz w:val="24"/>
          <w:szCs w:val="24"/>
        </w:rPr>
        <w:t xml:space="preserve">количество случаев, когда стоимость земельного </w:t>
      </w:r>
      <w:r w:rsidR="00627676">
        <w:rPr>
          <w:rFonts w:eastAsia="Times New Roman" w:cs="PT Astra Serif"/>
          <w:color w:val="000000"/>
          <w:sz w:val="24"/>
          <w:szCs w:val="24"/>
        </w:rPr>
        <w:t>участка вызывает вопросы со стороны собственников.</w:t>
      </w:r>
    </w:p>
    <w:p w:rsidR="00B710AB" w:rsidRPr="00933D17" w:rsidP="00C371B3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/>
          <w:sz w:val="24"/>
          <w:szCs w:val="24"/>
        </w:rPr>
      </w:pPr>
      <w:r w:rsidRPr="00933D17">
        <w:rPr>
          <w:rFonts w:eastAsia="Times New Roman" w:cs="PT Astra Serif"/>
          <w:color w:val="000000"/>
          <w:sz w:val="24"/>
          <w:szCs w:val="24"/>
        </w:rPr>
        <w:t xml:space="preserve">Кроме этого, </w:t>
      </w:r>
      <w:r w:rsidRPr="00933D17">
        <w:rPr>
          <w:color w:val="000000" w:themeColor="text1"/>
          <w:sz w:val="24"/>
          <w:szCs w:val="24"/>
        </w:rPr>
        <w:t xml:space="preserve">у </w:t>
      </w:r>
      <w:r w:rsidRPr="00933D17">
        <w:rPr>
          <w:rFonts w:eastAsia="Times New Roman" w:cs="PT Astra Serif"/>
          <w:color w:val="000000"/>
          <w:sz w:val="24"/>
          <w:szCs w:val="24"/>
        </w:rPr>
        <w:t>правообладател</w:t>
      </w:r>
      <w:r w:rsidR="00F07EC7">
        <w:rPr>
          <w:rFonts w:eastAsia="Times New Roman" w:cs="PT Astra Serif"/>
          <w:color w:val="000000"/>
          <w:sz w:val="24"/>
          <w:szCs w:val="24"/>
        </w:rPr>
        <w:t>ей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 земельных участков (</w:t>
      </w:r>
      <w:r w:rsidRPr="00933D17" w:rsidR="00C127C1">
        <w:rPr>
          <w:rFonts w:eastAsia="Times New Roman" w:cs="PT Astra Serif"/>
          <w:color w:val="000000"/>
          <w:sz w:val="24"/>
          <w:szCs w:val="24"/>
        </w:rPr>
        <w:t xml:space="preserve">и </w:t>
      </w:r>
      <w:r w:rsidRPr="00933D17">
        <w:rPr>
          <w:rFonts w:eastAsia="Times New Roman" w:cs="PT Astra Serif"/>
          <w:color w:val="000000"/>
          <w:sz w:val="24"/>
          <w:szCs w:val="24"/>
        </w:rPr>
        <w:t>их представителей)</w:t>
      </w:r>
      <w:r w:rsidRPr="00933D17">
        <w:rPr>
          <w:color w:val="000000" w:themeColor="text1"/>
          <w:sz w:val="24"/>
          <w:szCs w:val="24"/>
        </w:rPr>
        <w:t xml:space="preserve"> есть возможность предоставить </w:t>
      </w:r>
      <w:r w:rsidRPr="00933D17" w:rsidR="00E02BA7">
        <w:rPr>
          <w:color w:val="000000" w:themeColor="text1"/>
          <w:sz w:val="24"/>
          <w:szCs w:val="24"/>
        </w:rPr>
        <w:t>ОГБУ «ТОЦИК»</w:t>
      </w:r>
      <w:r w:rsidRPr="00933D17">
        <w:rPr>
          <w:color w:val="000000" w:themeColor="text1"/>
          <w:sz w:val="24"/>
          <w:szCs w:val="24"/>
        </w:rPr>
        <w:t xml:space="preserve"> </w:t>
      </w:r>
      <w:r w:rsidR="005201CE">
        <w:rPr>
          <w:color w:val="000000" w:themeColor="text1"/>
          <w:sz w:val="24"/>
          <w:szCs w:val="24"/>
        </w:rPr>
        <w:t>- «Д</w:t>
      </w:r>
      <w:r w:rsidRPr="00933D17">
        <w:rPr>
          <w:color w:val="000000" w:themeColor="text1"/>
          <w:sz w:val="24"/>
          <w:szCs w:val="24"/>
        </w:rPr>
        <w:t>еклараци</w:t>
      </w:r>
      <w:r w:rsidR="00A36E1E">
        <w:rPr>
          <w:color w:val="000000" w:themeColor="text1"/>
          <w:sz w:val="24"/>
          <w:szCs w:val="24"/>
        </w:rPr>
        <w:t>ю</w:t>
      </w:r>
      <w:r w:rsidRPr="00933D17">
        <w:rPr>
          <w:color w:val="000000" w:themeColor="text1"/>
          <w:sz w:val="24"/>
          <w:szCs w:val="24"/>
        </w:rPr>
        <w:t xml:space="preserve"> о характеристиках </w:t>
      </w:r>
      <w:r w:rsidRPr="00933D17" w:rsidR="00C127C1">
        <w:rPr>
          <w:color w:val="000000" w:themeColor="text1"/>
          <w:sz w:val="24"/>
          <w:szCs w:val="24"/>
        </w:rPr>
        <w:t xml:space="preserve">своих </w:t>
      </w:r>
      <w:r w:rsidRPr="00933D17">
        <w:rPr>
          <w:color w:val="000000" w:themeColor="text1"/>
          <w:sz w:val="24"/>
          <w:szCs w:val="24"/>
        </w:rPr>
        <w:t>объектов</w:t>
      </w:r>
      <w:r w:rsidRPr="00933D17" w:rsidR="00C127C1">
        <w:rPr>
          <w:color w:val="000000" w:themeColor="text1"/>
          <w:sz w:val="24"/>
          <w:szCs w:val="24"/>
        </w:rPr>
        <w:t xml:space="preserve"> недвижимости</w:t>
      </w:r>
      <w:r w:rsidR="005201CE">
        <w:rPr>
          <w:color w:val="000000" w:themeColor="text1"/>
          <w:sz w:val="24"/>
          <w:szCs w:val="24"/>
        </w:rPr>
        <w:t>»</w:t>
      </w:r>
      <w:r w:rsidRPr="00933D17" w:rsidR="00C127C1">
        <w:rPr>
          <w:color w:val="000000" w:themeColor="text1"/>
          <w:sz w:val="24"/>
          <w:szCs w:val="24"/>
        </w:rPr>
        <w:t xml:space="preserve"> (</w:t>
      </w:r>
      <w:r w:rsidR="00A36E1E">
        <w:rPr>
          <w:color w:val="000000" w:themeColor="text1"/>
          <w:sz w:val="24"/>
          <w:szCs w:val="24"/>
        </w:rPr>
        <w:t xml:space="preserve">далее - </w:t>
      </w:r>
      <w:r w:rsidRPr="00933D17" w:rsidR="00C127C1">
        <w:rPr>
          <w:color w:val="000000" w:themeColor="text1"/>
          <w:sz w:val="24"/>
          <w:szCs w:val="24"/>
        </w:rPr>
        <w:t>Деклараци</w:t>
      </w:r>
      <w:r w:rsidR="00A36E1E">
        <w:rPr>
          <w:color w:val="000000" w:themeColor="text1"/>
          <w:sz w:val="24"/>
          <w:szCs w:val="24"/>
        </w:rPr>
        <w:t>я</w:t>
      </w:r>
      <w:r w:rsidRPr="00933D17" w:rsidR="00C127C1">
        <w:rPr>
          <w:color w:val="000000" w:themeColor="text1"/>
          <w:sz w:val="24"/>
          <w:szCs w:val="24"/>
        </w:rPr>
        <w:t>)</w:t>
      </w:r>
      <w:r w:rsidR="00A36E1E">
        <w:rPr>
          <w:color w:val="000000" w:themeColor="text1"/>
          <w:sz w:val="24"/>
          <w:szCs w:val="24"/>
        </w:rPr>
        <w:t xml:space="preserve">, которую целесообразно </w:t>
      </w:r>
      <w:r w:rsidR="005201CE">
        <w:rPr>
          <w:color w:val="000000" w:themeColor="text1"/>
          <w:sz w:val="24"/>
          <w:szCs w:val="24"/>
        </w:rPr>
        <w:t>направить</w:t>
      </w:r>
      <w:bookmarkStart w:id="0" w:name="_GoBack"/>
      <w:bookmarkEnd w:id="0"/>
      <w:r w:rsidR="00A36E1E">
        <w:rPr>
          <w:color w:val="000000" w:themeColor="text1"/>
          <w:sz w:val="24"/>
          <w:szCs w:val="24"/>
        </w:rPr>
        <w:t xml:space="preserve"> до 01.06.2026 для возможности учета, указанных в ней характеристик, при проведении государственной кадастровой оценки 2026 года. </w:t>
      </w:r>
      <w:r w:rsidRPr="00933D17" w:rsidR="00C127C1">
        <w:rPr>
          <w:color w:val="000000" w:themeColor="text1"/>
          <w:sz w:val="24"/>
          <w:szCs w:val="24"/>
        </w:rPr>
        <w:t>Форма Д</w:t>
      </w:r>
      <w:r w:rsidRPr="00933D17">
        <w:rPr>
          <w:color w:val="000000" w:themeColor="text1"/>
          <w:sz w:val="24"/>
          <w:szCs w:val="24"/>
        </w:rPr>
        <w:t>екларации и порядок её рассмотрения утверждены приказом Росреестра от 24.05.2021 № П/0216.</w:t>
      </w:r>
      <w:r w:rsidRPr="00933D17" w:rsidR="00C371B3">
        <w:rPr>
          <w:rFonts w:eastAsia="Times New Roman" w:cs="PT Astra Serif"/>
          <w:color w:val="000000"/>
          <w:sz w:val="24"/>
          <w:szCs w:val="24"/>
        </w:rPr>
        <w:t xml:space="preserve"> </w:t>
      </w:r>
      <w:r w:rsidRPr="00933D17">
        <w:rPr>
          <w:rFonts w:eastAsia="Times New Roman" w:cs="PT Astra Serif"/>
          <w:color w:val="000000"/>
          <w:sz w:val="24"/>
          <w:szCs w:val="24"/>
        </w:rPr>
        <w:t>С этой целью, п</w:t>
      </w:r>
      <w:r w:rsidRPr="00933D17" w:rsidR="00C371B3">
        <w:rPr>
          <w:rFonts w:eastAsia="Times New Roman" w:cs="PT Astra Serif"/>
          <w:color w:val="000000"/>
          <w:sz w:val="24"/>
          <w:szCs w:val="24"/>
        </w:rPr>
        <w:t>редварительно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 рекомендуется</w:t>
      </w:r>
      <w:r w:rsidRPr="00933D17" w:rsidR="00C371B3">
        <w:rPr>
          <w:rFonts w:eastAsia="Times New Roman" w:cs="PT Astra Serif"/>
          <w:color w:val="000000"/>
          <w:sz w:val="24"/>
          <w:szCs w:val="24"/>
        </w:rPr>
        <w:t xml:space="preserve"> получить 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актуальные </w:t>
      </w:r>
      <w:r w:rsidRPr="00933D17" w:rsidR="00C371B3">
        <w:rPr>
          <w:rFonts w:eastAsia="Times New Roman" w:cs="PT Astra Serif"/>
          <w:color w:val="000000"/>
          <w:sz w:val="24"/>
          <w:szCs w:val="24"/>
        </w:rPr>
        <w:t xml:space="preserve">сведения из базы данных Росреестра </w:t>
      </w:r>
      <w:r w:rsidR="00A36E1E">
        <w:rPr>
          <w:rFonts w:eastAsia="Times New Roman" w:cs="PT Astra Serif"/>
          <w:color w:val="000000"/>
          <w:sz w:val="24"/>
          <w:szCs w:val="24"/>
        </w:rPr>
        <w:t>о земельном участке</w:t>
      </w:r>
      <w:r w:rsidRPr="00933D17" w:rsidR="00C07D29">
        <w:rPr>
          <w:rFonts w:eastAsia="Times New Roman" w:cs="PT Astra Serif"/>
          <w:color w:val="000000"/>
          <w:sz w:val="24"/>
          <w:szCs w:val="24"/>
        </w:rPr>
        <w:t>, которые содержатся в ЕГРН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, и сравнить их с фактическими. </w:t>
      </w:r>
    </w:p>
    <w:p w:rsidR="00390015" w:rsidP="00212E39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/>
          <w:sz w:val="24"/>
          <w:szCs w:val="24"/>
        </w:rPr>
      </w:pPr>
      <w:r w:rsidRPr="00D52D11">
        <w:rPr>
          <w:rFonts w:eastAsia="Times New Roman" w:cs="PT Astra Serif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4177970</wp:posOffset>
                </wp:positionH>
                <wp:positionV relativeFrom="paragraph">
                  <wp:posOffset>271145</wp:posOffset>
                </wp:positionV>
                <wp:extent cx="123825" cy="45719"/>
                <wp:effectExtent l="0" t="19050" r="47625" b="31115"/>
                <wp:wrapNone/>
                <wp:docPr id="1" name="Стрелка вправо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23825" cy="45719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" o:spid="_x0000_s1025" type="#_x0000_t13" style="width:9.75pt;height:3.6pt;margin-top:21.35pt;margin-left:328.95pt;mso-wrap-distance-bottom:0;mso-wrap-distance-left:9pt;mso-wrap-distance-right:9pt;mso-wrap-distance-top:0;mso-wrap-style:square;position:absolute;visibility:visible;v-text-anchor:middle;z-index:251659264" adj="17612" fillcolor="black" strokecolor="#243f60" strokeweight="2pt"/>
            </w:pict>
          </mc:Fallback>
        </mc:AlternateContent>
      </w:r>
      <w:r w:rsidRPr="00933D17" w:rsidR="00B710AB">
        <w:rPr>
          <w:rFonts w:eastAsia="Times New Roman" w:cs="PT Astra Serif"/>
          <w:color w:val="000000"/>
          <w:sz w:val="24"/>
          <w:szCs w:val="24"/>
        </w:rPr>
        <w:t>Заказать выписку из ЕГРН можно в МФЦ</w:t>
      </w:r>
      <w:r w:rsidR="00642D10">
        <w:rPr>
          <w:rFonts w:eastAsia="Times New Roman" w:cs="PT Astra Serif"/>
          <w:color w:val="000000"/>
          <w:sz w:val="24"/>
          <w:szCs w:val="24"/>
        </w:rPr>
        <w:t>, а так же</w:t>
      </w:r>
      <w:r w:rsidRPr="00933D17" w:rsidR="00B710AB">
        <w:rPr>
          <w:rFonts w:eastAsia="Times New Roman" w:cs="PT Astra Serif"/>
          <w:color w:val="000000"/>
          <w:sz w:val="24"/>
          <w:szCs w:val="24"/>
        </w:rPr>
        <w:t xml:space="preserve"> </w:t>
      </w:r>
      <w:r w:rsidR="00A36E1E">
        <w:rPr>
          <w:rFonts w:eastAsia="Times New Roman" w:cs="PT Astra Serif"/>
          <w:color w:val="000000"/>
          <w:sz w:val="24"/>
          <w:szCs w:val="24"/>
        </w:rPr>
        <w:t xml:space="preserve">на </w:t>
      </w:r>
      <w:r w:rsidRPr="00933D17" w:rsidR="00B710AB">
        <w:rPr>
          <w:rFonts w:eastAsia="Times New Roman" w:cs="PT Astra Serif"/>
          <w:color w:val="000000"/>
          <w:sz w:val="24"/>
          <w:szCs w:val="24"/>
        </w:rPr>
        <w:t>онлайн сервисах Росреестра</w:t>
      </w:r>
      <w:r w:rsidRPr="00933D17" w:rsidR="005B65C3">
        <w:rPr>
          <w:rFonts w:eastAsia="Times New Roman" w:cs="PT Astra Serif"/>
          <w:color w:val="000000"/>
          <w:sz w:val="24"/>
          <w:szCs w:val="24"/>
        </w:rPr>
        <w:t xml:space="preserve"> по адресу </w:t>
      </w:r>
      <w:hyperlink r:id="rId6" w:tooltip="https://rosreestr.gov.ru/" w:history="1">
        <w:r w:rsidRPr="00933D17" w:rsidR="005B65C3">
          <w:rPr>
            <w:rFonts w:eastAsia="Times New Roman" w:cs="PT Astra Serif"/>
            <w:color w:val="000000"/>
            <w:sz w:val="24"/>
            <w:szCs w:val="24"/>
          </w:rPr>
          <w:t>https://rosreestr.gov.ru</w:t>
        </w:r>
      </w:hyperlink>
      <w:r w:rsidRPr="00933D17" w:rsidR="005B65C3">
        <w:rPr>
          <w:rFonts w:eastAsia="Times New Roman" w:cs="PT Astra Serif"/>
          <w:color w:val="000000"/>
          <w:sz w:val="24"/>
          <w:szCs w:val="24"/>
        </w:rPr>
        <w:t xml:space="preserve"> (электронные услуги и сервисы 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    </w:t>
      </w:r>
      <w:r w:rsidR="00D52D11">
        <w:rPr>
          <w:rFonts w:eastAsia="Times New Roman" w:cs="PT Astra Serif"/>
          <w:color w:val="000000"/>
          <w:sz w:val="24"/>
          <w:szCs w:val="24"/>
        </w:rPr>
        <w:t xml:space="preserve"> </w:t>
      </w:r>
      <w:r w:rsidRPr="00933D17">
        <w:rPr>
          <w:rFonts w:eastAsia="Times New Roman" w:cs="PT Astra Serif"/>
          <w:color w:val="000000"/>
          <w:sz w:val="24"/>
          <w:szCs w:val="24"/>
        </w:rPr>
        <w:t>Предоставление сведений из ЕГРН</w:t>
      </w:r>
      <w:r w:rsidR="00627676">
        <w:rPr>
          <w:rFonts w:eastAsia="Times New Roman" w:cs="PT Astra Serif"/>
          <w:color w:val="000000"/>
          <w:sz w:val="24"/>
          <w:szCs w:val="24"/>
        </w:rPr>
        <w:t>)</w:t>
      </w:r>
      <w:r w:rsidRPr="00933D17" w:rsidR="00C07D29">
        <w:rPr>
          <w:rFonts w:eastAsia="Times New Roman" w:cs="PT Astra Serif"/>
          <w:color w:val="000000"/>
          <w:sz w:val="24"/>
          <w:szCs w:val="24"/>
        </w:rPr>
        <w:t>.</w:t>
      </w:r>
      <w:r w:rsidRPr="00933D17" w:rsidR="00212E39">
        <w:rPr>
          <w:rFonts w:cs="PT Astra Serif"/>
          <w:color w:val="000000"/>
          <w:sz w:val="24"/>
          <w:szCs w:val="24"/>
        </w:rPr>
        <w:t xml:space="preserve"> </w:t>
      </w:r>
      <w:r w:rsidRPr="00933D17" w:rsidR="00C07D29">
        <w:rPr>
          <w:rFonts w:eastAsia="Times New Roman" w:cs="PT Astra Serif"/>
          <w:color w:val="000000"/>
          <w:sz w:val="24"/>
          <w:szCs w:val="24"/>
        </w:rPr>
        <w:t>Кроме того, проверить характеристики объекта недвижимости можно в личном кабинете Госуслуг.     </w:t>
      </w:r>
    </w:p>
    <w:p w:rsidR="006B27D5" w:rsidP="00212E39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/>
          <w:sz w:val="24"/>
          <w:szCs w:val="24"/>
        </w:rPr>
      </w:pPr>
      <w:r>
        <w:rPr>
          <w:rFonts w:eastAsia="Times New Roman" w:cs="PT Astra Serif"/>
          <w:color w:val="000000"/>
          <w:sz w:val="24"/>
          <w:szCs w:val="24"/>
        </w:rPr>
        <w:t xml:space="preserve">Обращаем внимание правообладателей на то, что фактическое использование земельного участка не должно противоречить виду разрешенного использования, установленного в ЕГРН. </w:t>
      </w:r>
      <w:r w:rsidR="008A6EF0">
        <w:rPr>
          <w:rFonts w:eastAsia="Times New Roman" w:cs="PT Astra Serif"/>
          <w:color w:val="000000"/>
          <w:sz w:val="24"/>
          <w:szCs w:val="24"/>
        </w:rPr>
        <w:t>За использование земельного участка не по целевому назначению установлена ответственность в виде штрафа, размеры которого определены ст.8.8 КоАП РФ. Для граждан</w:t>
      </w:r>
      <w:r w:rsidR="00672884">
        <w:rPr>
          <w:rFonts w:eastAsia="Times New Roman" w:cs="PT Astra Serif"/>
          <w:color w:val="000000"/>
          <w:sz w:val="24"/>
          <w:szCs w:val="24"/>
        </w:rPr>
        <w:t>,</w:t>
      </w:r>
      <w:r w:rsidR="008A6EF0">
        <w:rPr>
          <w:rFonts w:eastAsia="Times New Roman" w:cs="PT Astra Serif"/>
          <w:color w:val="000000"/>
          <w:sz w:val="24"/>
          <w:szCs w:val="24"/>
        </w:rPr>
        <w:t xml:space="preserve"> </w:t>
      </w:r>
      <w:r w:rsidR="00672884">
        <w:rPr>
          <w:rFonts w:eastAsia="Times New Roman" w:cs="PT Astra Serif"/>
          <w:color w:val="000000"/>
          <w:sz w:val="24"/>
          <w:szCs w:val="24"/>
        </w:rPr>
        <w:t>его</w:t>
      </w:r>
      <w:r w:rsidR="003F476E">
        <w:rPr>
          <w:rFonts w:eastAsia="Times New Roman" w:cs="PT Astra Serif"/>
          <w:color w:val="000000"/>
          <w:sz w:val="24"/>
          <w:szCs w:val="24"/>
        </w:rPr>
        <w:t xml:space="preserve"> размер составляет </w:t>
      </w:r>
      <w:r w:rsidR="003F476E">
        <w:rPr>
          <w:rFonts w:eastAsia="Times New Roman" w:cs="PT Astra Serif"/>
          <w:color w:val="000000"/>
          <w:sz w:val="24"/>
          <w:szCs w:val="24"/>
        </w:rPr>
        <w:t xml:space="preserve">от 10 </w:t>
      </w:r>
      <w:r w:rsidR="008A6EF0">
        <w:rPr>
          <w:rFonts w:eastAsia="Times New Roman" w:cs="PT Astra Serif"/>
          <w:color w:val="000000"/>
          <w:sz w:val="24"/>
          <w:szCs w:val="24"/>
        </w:rPr>
        <w:t>000 до 100</w:t>
      </w:r>
      <w:r w:rsidR="003F476E">
        <w:rPr>
          <w:rFonts w:eastAsia="Times New Roman" w:cs="PT Astra Serif"/>
          <w:color w:val="000000"/>
          <w:sz w:val="24"/>
          <w:szCs w:val="24"/>
        </w:rPr>
        <w:t xml:space="preserve"> </w:t>
      </w:r>
      <w:r w:rsidR="008A6EF0">
        <w:rPr>
          <w:rFonts w:eastAsia="Times New Roman" w:cs="PT Astra Serif"/>
          <w:color w:val="000000"/>
          <w:sz w:val="24"/>
          <w:szCs w:val="24"/>
        </w:rPr>
        <w:t>000 рублей, для организаций от 100 000 до 200 000 руб.</w:t>
      </w:r>
      <w:r w:rsidR="00525C54">
        <w:rPr>
          <w:rFonts w:eastAsia="Times New Roman" w:cs="PT Astra Serif"/>
          <w:color w:val="000000"/>
          <w:sz w:val="24"/>
          <w:szCs w:val="24"/>
        </w:rPr>
        <w:t xml:space="preserve"> Во избежание этого</w:t>
      </w:r>
      <w:r w:rsidR="00672884">
        <w:rPr>
          <w:rFonts w:eastAsia="Times New Roman" w:cs="PT Astra Serif"/>
          <w:color w:val="000000"/>
          <w:sz w:val="24"/>
          <w:szCs w:val="24"/>
        </w:rPr>
        <w:t>, рекомендуем своевременно вносить изменения о виде разрешенного использования в ЕГРН.</w:t>
      </w:r>
    </w:p>
    <w:p w:rsidR="00B3525D" w:rsidRPr="00933D17" w:rsidP="00212E39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/>
          <w:sz w:val="24"/>
          <w:szCs w:val="24"/>
        </w:rPr>
      </w:pPr>
      <w:r w:rsidRPr="00933D17">
        <w:rPr>
          <w:rFonts w:eastAsia="Times New Roman" w:cs="PT Astra Serif"/>
          <w:color w:val="000000"/>
          <w:sz w:val="24"/>
          <w:szCs w:val="24"/>
        </w:rPr>
        <w:t xml:space="preserve">Полная, достоверная информация об объектах недвижимости является </w:t>
      </w:r>
      <w:r w:rsidR="001153C9">
        <w:rPr>
          <w:rFonts w:eastAsia="Times New Roman" w:cs="PT Astra Serif"/>
          <w:color w:val="000000"/>
          <w:sz w:val="24"/>
          <w:szCs w:val="24"/>
        </w:rPr>
        <w:t xml:space="preserve">основой </w:t>
      </w:r>
      <w:r w:rsidRPr="00933D17">
        <w:rPr>
          <w:rFonts w:eastAsia="Times New Roman" w:cs="PT Astra Serif"/>
          <w:color w:val="000000"/>
          <w:sz w:val="24"/>
          <w:szCs w:val="24"/>
        </w:rPr>
        <w:t xml:space="preserve">проведения качественной кадастровой оценки. </w:t>
      </w:r>
    </w:p>
    <w:p w:rsidR="005B65C3" w:rsidRPr="00933D17" w:rsidP="00212E39">
      <w:pPr>
        <w:pBdr>
          <w:top w:val="nil"/>
          <w:left w:val="nil"/>
          <w:bottom w:val="nil"/>
          <w:right w:val="nil"/>
        </w:pBdr>
        <w:spacing w:after="0"/>
        <w:ind w:firstLine="708"/>
        <w:jc w:val="both"/>
        <w:rPr>
          <w:rFonts w:eastAsia="Times New Roman" w:cs="PT Astra Serif"/>
          <w:color w:val="000000"/>
          <w:sz w:val="24"/>
          <w:szCs w:val="24"/>
        </w:rPr>
      </w:pPr>
    </w:p>
    <w:p w:rsidR="00D36322" w:rsidP="00542089">
      <w:pPr>
        <w:pBdr>
          <w:top w:val="nil"/>
          <w:left w:val="nil"/>
          <w:bottom w:val="nil"/>
          <w:right w:val="nil"/>
        </w:pBdr>
        <w:spacing w:after="0"/>
        <w:jc w:val="both"/>
        <w:rPr>
          <w:rFonts w:eastAsia="Times New Roman" w:cs="PT Astra Serif"/>
          <w:color w:val="000000"/>
          <w:sz w:val="24"/>
          <w:szCs w:val="24"/>
        </w:rPr>
      </w:pPr>
      <w:r w:rsidRPr="00933D17">
        <w:rPr>
          <w:rFonts w:eastAsia="Times New Roman" w:cs="PT Astra Serif"/>
          <w:color w:val="000000"/>
          <w:sz w:val="24"/>
          <w:szCs w:val="24"/>
        </w:rPr>
        <w:t>Справочная информация</w:t>
      </w:r>
      <w:r>
        <w:rPr>
          <w:rFonts w:eastAsia="Times New Roman" w:cs="PT Astra Serif"/>
          <w:color w:val="000000"/>
          <w:sz w:val="24"/>
          <w:szCs w:val="24"/>
        </w:rPr>
        <w:t xml:space="preserve"> для Заявителей</w:t>
      </w:r>
      <w:r w:rsidRPr="00933D17">
        <w:rPr>
          <w:rFonts w:eastAsia="Times New Roman" w:cs="PT Astra Serif"/>
          <w:color w:val="000000"/>
          <w:sz w:val="24"/>
          <w:szCs w:val="24"/>
        </w:rPr>
        <w:t>:</w:t>
      </w:r>
    </w:p>
    <w:p w:rsidR="00A8523A" w:rsidP="00D36322">
      <w:pPr>
        <w:pBdr>
          <w:top w:val="nil"/>
          <w:left w:val="nil"/>
          <w:bottom w:val="nil"/>
          <w:right w:val="nil"/>
        </w:pBdr>
        <w:spacing w:after="0"/>
        <w:jc w:val="both"/>
        <w:rPr>
          <w:rFonts w:eastAsia="Times New Roman" w:cs="PT Astra Serif"/>
          <w:color w:val="000000"/>
          <w:sz w:val="24"/>
          <w:szCs w:val="24"/>
        </w:rPr>
      </w:pPr>
      <w:r w:rsidRPr="00933D17">
        <w:rPr>
          <w:rFonts w:eastAsia="Times New Roman" w:cs="PT Astra Serif"/>
          <w:color w:val="000000"/>
          <w:sz w:val="24"/>
          <w:szCs w:val="24"/>
        </w:rPr>
        <w:t>ОГБУ «ТОЦИК» 634009, г. Томск, ул. Розы Люксембург, д.17, с</w:t>
      </w:r>
      <w:r w:rsidR="00A36E1E">
        <w:rPr>
          <w:rFonts w:eastAsia="Times New Roman" w:cs="PT Astra Serif"/>
          <w:color w:val="000000"/>
          <w:sz w:val="24"/>
          <w:szCs w:val="24"/>
        </w:rPr>
        <w:t xml:space="preserve">тр.2, </w:t>
      </w:r>
      <w:r w:rsidR="00154745">
        <w:rPr>
          <w:rFonts w:eastAsia="Times New Roman" w:cs="PT Astra Serif"/>
          <w:color w:val="000000"/>
          <w:sz w:val="24"/>
          <w:szCs w:val="24"/>
        </w:rPr>
        <w:t>кабинет 102</w:t>
      </w:r>
      <w:r>
        <w:rPr>
          <w:rFonts w:eastAsia="Times New Roman" w:cs="PT Astra Serif"/>
          <w:color w:val="000000"/>
          <w:sz w:val="24"/>
          <w:szCs w:val="24"/>
        </w:rPr>
        <w:t>.</w:t>
      </w:r>
      <w:r w:rsidR="00154745">
        <w:rPr>
          <w:rFonts w:eastAsia="Times New Roman" w:cs="PT Astra Serif"/>
          <w:color w:val="000000"/>
          <w:sz w:val="24"/>
          <w:szCs w:val="24"/>
        </w:rPr>
        <w:t xml:space="preserve"> </w:t>
      </w:r>
    </w:p>
    <w:p w:rsidR="00C127C1" w:rsidRPr="00933D17" w:rsidP="00D36322">
      <w:pPr>
        <w:pBdr>
          <w:top w:val="nil"/>
          <w:left w:val="nil"/>
          <w:bottom w:val="nil"/>
          <w:right w:val="nil"/>
        </w:pBdr>
        <w:spacing w:after="0"/>
        <w:jc w:val="both"/>
        <w:rPr>
          <w:rFonts w:eastAsia="Times New Roman" w:cs="PT Astra Serif"/>
          <w:color w:val="000000"/>
          <w:sz w:val="24"/>
          <w:szCs w:val="24"/>
        </w:rPr>
      </w:pPr>
      <w:r>
        <w:rPr>
          <w:rFonts w:eastAsia="Times New Roman" w:cs="PT Astra Serif"/>
          <w:color w:val="000000"/>
          <w:sz w:val="24"/>
          <w:szCs w:val="24"/>
        </w:rPr>
        <w:t>Т</w:t>
      </w:r>
      <w:r w:rsidR="00A36E1E">
        <w:rPr>
          <w:rFonts w:eastAsia="Times New Roman" w:cs="PT Astra Serif"/>
          <w:color w:val="000000"/>
          <w:sz w:val="24"/>
          <w:szCs w:val="24"/>
        </w:rPr>
        <w:t>ел.: 90-79-33, 90-79-44</w:t>
      </w:r>
      <w:r w:rsidRPr="00933D17">
        <w:rPr>
          <w:rFonts w:eastAsia="Times New Roman" w:cs="PT Astra Serif"/>
          <w:color w:val="000000"/>
          <w:sz w:val="24"/>
          <w:szCs w:val="24"/>
        </w:rPr>
        <w:t>.</w:t>
      </w:r>
    </w:p>
    <w:p w:rsidR="00390015" w:rsidRPr="00933D17" w:rsidP="00A8523A">
      <w:pPr>
        <w:pBdr>
          <w:top w:val="nil"/>
          <w:left w:val="nil"/>
          <w:bottom w:val="nil"/>
          <w:right w:val="nil"/>
        </w:pBdr>
        <w:spacing w:after="0"/>
        <w:jc w:val="both"/>
        <w:rPr>
          <w:rFonts w:cs="PT Astra Serif"/>
          <w:sz w:val="24"/>
          <w:szCs w:val="24"/>
        </w:rPr>
      </w:pPr>
      <w:r w:rsidRPr="00933D17">
        <w:rPr>
          <w:rFonts w:eastAsia="Times New Roman" w:cs="PT Astra Serif"/>
          <w:color w:val="000000"/>
          <w:sz w:val="24"/>
          <w:szCs w:val="24"/>
        </w:rPr>
        <w:t>Скачать форму декларации о характеристиках объекта недвижимости, а также ознакомится со способами ее предоставления можно на официальном сайте ОГБУ «ТОЦИК» </w:t>
      </w:r>
      <w:hyperlink r:id="rId7" w:tooltip="https://gkoto.ru/" w:history="1">
        <w:r w:rsidRPr="00933D17">
          <w:rPr>
            <w:rFonts w:eastAsia="Times New Roman" w:cs="PT Astra Serif"/>
            <w:color w:val="000000"/>
            <w:sz w:val="24"/>
            <w:szCs w:val="24"/>
          </w:rPr>
          <w:t>https://gkoto.ru</w:t>
        </w:r>
      </w:hyperlink>
      <w:r w:rsidRPr="00933D17">
        <w:rPr>
          <w:rFonts w:eastAsia="Times New Roman" w:cs="PT Astra Serif"/>
          <w:color w:val="000000"/>
          <w:sz w:val="24"/>
          <w:szCs w:val="24"/>
        </w:rPr>
        <w:t> в разделе «Кадастровая оценка» подраздел «Декларации».</w:t>
      </w:r>
    </w:p>
    <w:sectPr w:rsidSect="00D93863">
      <w:pgSz w:w="11906" w:h="16838"/>
      <w:pgMar w:top="567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DEE20C8"/>
    <w:multiLevelType w:val="hybridMultilevel"/>
    <w:tmpl w:val="88F473C0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09F5342"/>
    <w:multiLevelType w:val="hybridMultilevel"/>
    <w:tmpl w:val="A85443D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C1D4386"/>
    <w:multiLevelType w:val="multilevel"/>
    <w:tmpl w:val="77A4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015"/>
    <w:rsid w:val="00037E52"/>
    <w:rsid w:val="000D49A9"/>
    <w:rsid w:val="000F41F8"/>
    <w:rsid w:val="001153C9"/>
    <w:rsid w:val="00154745"/>
    <w:rsid w:val="001763B7"/>
    <w:rsid w:val="00212E39"/>
    <w:rsid w:val="00390015"/>
    <w:rsid w:val="003F476E"/>
    <w:rsid w:val="004225B2"/>
    <w:rsid w:val="004D5429"/>
    <w:rsid w:val="00501A2B"/>
    <w:rsid w:val="005163C2"/>
    <w:rsid w:val="005201CE"/>
    <w:rsid w:val="00525C54"/>
    <w:rsid w:val="00542089"/>
    <w:rsid w:val="00553FDB"/>
    <w:rsid w:val="005B65C3"/>
    <w:rsid w:val="00627676"/>
    <w:rsid w:val="00642D10"/>
    <w:rsid w:val="00672884"/>
    <w:rsid w:val="006B27D5"/>
    <w:rsid w:val="0073659D"/>
    <w:rsid w:val="007833B9"/>
    <w:rsid w:val="00783E36"/>
    <w:rsid w:val="00793A47"/>
    <w:rsid w:val="007C075E"/>
    <w:rsid w:val="007E45B4"/>
    <w:rsid w:val="007F2AE9"/>
    <w:rsid w:val="00801A6E"/>
    <w:rsid w:val="008834D3"/>
    <w:rsid w:val="008A6EF0"/>
    <w:rsid w:val="008A7C51"/>
    <w:rsid w:val="0090455E"/>
    <w:rsid w:val="00933D17"/>
    <w:rsid w:val="00984AF1"/>
    <w:rsid w:val="00A36E1E"/>
    <w:rsid w:val="00A8523A"/>
    <w:rsid w:val="00A969C0"/>
    <w:rsid w:val="00AA12E2"/>
    <w:rsid w:val="00B3525D"/>
    <w:rsid w:val="00B710AB"/>
    <w:rsid w:val="00BB6005"/>
    <w:rsid w:val="00C07D29"/>
    <w:rsid w:val="00C127C1"/>
    <w:rsid w:val="00C14D93"/>
    <w:rsid w:val="00C371B3"/>
    <w:rsid w:val="00D36322"/>
    <w:rsid w:val="00D52D11"/>
    <w:rsid w:val="00D93863"/>
    <w:rsid w:val="00DD4813"/>
    <w:rsid w:val="00E019A0"/>
    <w:rsid w:val="00E02BA7"/>
    <w:rsid w:val="00E34FC2"/>
    <w:rsid w:val="00E65FE0"/>
    <w:rsid w:val="00EF5FAD"/>
    <w:rsid w:val="00F07EC7"/>
    <w:rsid w:val="00F427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D0FBB90"/>
  <w15:docId w15:val="{1E9A4A6A-9E8E-4927-9B14-51129C3D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hAnsi="PT Astra Serif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a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">
    <w:name w:val="Заголовок Знак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/>
    </w:pPr>
    <w:rPr>
      <w:sz w:val="24"/>
      <w:szCs w:val="24"/>
    </w:rPr>
  </w:style>
  <w:style w:type="character" w:customStyle="1" w:styleId="a0">
    <w:name w:val="Подзаголовок Знак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"/>
    <w:uiPriority w:val="29"/>
    <w:qFormat/>
    <w:pPr>
      <w:ind w:left="720" w:right="720"/>
    </w:pPr>
    <w:rPr>
      <w:i/>
    </w:rPr>
  </w:style>
  <w:style w:type="character" w:customStyle="1" w:styleId="2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paragraph" w:styleId="Header">
    <w:name w:val="header"/>
    <w:basedOn w:val="Normal"/>
    <w:link w:val="a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2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a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3">
    <w:name w:val="Нижний колонтитул Знак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tblPr/>
      <w:tcPr>
        <w:shd w:val="clear" w:color="F2F2F2" w:fill="F2F2F2" w:themeColor="text1" w:themeTint="0D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Color="accent1" w:themeTint="EA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Color="accent1" w:themeTint="3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Color="accent1" w:themeTint="32" w:themeFill="accent1" w:themeFillTint="32"/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Color="accent2" w:themeTint="97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Color="accent3" w:themeTint="FE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Color="accent4" w:themeTint="9A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Color="accent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Color="accent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band1Horz">
      <w:tblPr/>
      <w:tcPr>
        <w:shd w:val="clear" w:color="8A8A8A" w:fill="8A8A8A" w:themeColor="text1" w:themeTint="75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Color="accent1" w:themeTint="3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Color="accent1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band1Vert">
      <w:tblPr/>
      <w:tcPr>
        <w:shd w:val="clear" w:color="AEC4E0" w:fill="AEC4E0" w:themeColor="accent1" w:themeTint="75" w:themeFill="accent1" w:themeFillTint="75"/>
      </w:tcPr>
    </w:tblStylePr>
    <w:tblStylePr w:type="band1Horz">
      <w:tblPr/>
      <w:tcPr>
        <w:shd w:val="clear" w:color="AEC4E0" w:fill="AEC4E0" w:themeColor="accent1" w:themeTint="75" w:themeFill="accent1" w:themeFillTint="75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Color="accent2" w:themeTint="32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Color="accent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band1Vert">
      <w:tblPr/>
      <w:tcPr>
        <w:shd w:val="clear" w:color="E2AEAD" w:fill="E2AEAD" w:themeColor="accent2" w:themeTint="75" w:themeFill="accent2" w:themeFillTint="75"/>
      </w:tcPr>
    </w:tblStylePr>
    <w:tblStylePr w:type="band1Horz">
      <w:tblPr/>
      <w:tcPr>
        <w:shd w:val="clear" w:color="E2AEAD" w:fill="E2AEAD" w:themeColor="accent2" w:themeTint="75" w:themeFill="accent2" w:themeFillTint="75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Color="accent3" w:themeTint="34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Color="accent3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band1Vert">
      <w:tblPr/>
      <w:tcPr>
        <w:shd w:val="clear" w:color="D0DFB2" w:fill="D0DFB2" w:themeColor="accent3" w:themeTint="75" w:themeFill="accent3" w:themeFillTint="75"/>
      </w:tcPr>
    </w:tblStylePr>
    <w:tblStylePr w:type="band1Horz">
      <w:tblPr/>
      <w:tcPr>
        <w:shd w:val="clear" w:color="D0DFB2" w:fill="D0DFB2" w:themeColor="accent3" w:themeTint="7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Color="accent4" w:themeTint="34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Color="accent4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band1Vert">
      <w:tblPr/>
      <w:tcPr>
        <w:shd w:val="clear" w:color="C4B7D4" w:fill="C4B7D4" w:themeColor="accent4" w:themeTint="75" w:themeFill="accent4" w:themeFillTint="75"/>
      </w:tcPr>
    </w:tblStylePr>
    <w:tblStylePr w:type="band1Horz">
      <w:tblPr/>
      <w:tcPr>
        <w:shd w:val="clear" w:color="C4B7D4" w:fill="C4B7D4" w:themeColor="accent4" w:themeTint="75" w:themeFill="accent4" w:themeFillTint="75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Color="accent5" w:themeTint="34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Color="accent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band1Vert">
      <w:tblPr/>
      <w:tcPr>
        <w:shd w:val="clear" w:color="ACD8E4" w:fill="ACD8E4" w:themeColor="accent5" w:themeTint="75" w:themeFill="accent5" w:themeFillTint="75"/>
      </w:tcPr>
    </w:tblStylePr>
    <w:tblStylePr w:type="band1Horz">
      <w:tblPr/>
      <w:tcPr>
        <w:shd w:val="clear" w:color="ACD8E4" w:fill="ACD8E4" w:themeColor="accent5" w:themeTint="75" w:themeFill="accent5" w:themeFillTint="7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Color="accent6" w:themeTint="34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Color="accent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band1Vert">
      <w:tblPr/>
      <w:tcPr>
        <w:shd w:val="clear" w:color="FBCEAA" w:fill="FBCEAA" w:themeColor="accent6" w:themeTint="75" w:themeFill="accent6" w:themeFillTint="75"/>
      </w:tcPr>
    </w:tblStylePr>
    <w:tblStylePr w:type="band1Horz">
      <w:tblPr/>
      <w:tcPr>
        <w:shd w:val="clear" w:color="FBCEAA" w:fill="FBCEAA" w:themeColor="accent6" w:themeTint="75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Shade="95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Shade="95" w:themeTint="97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Shade="95" w:themeTint="97"/>
      </w:rPr>
    </w:tblStylePr>
    <w:tblStylePr w:type="firstCol">
      <w:rPr>
        <w:b/>
        <w:color w:val="D99695" w:themeColor="accent2" w:themeShade="95" w:themeTint="97"/>
      </w:rPr>
    </w:tblStylePr>
    <w:tblStylePr w:type="lastCol">
      <w:rPr>
        <w:b/>
        <w:color w:val="D99695" w:themeColor="accent2" w:themeShade="95" w:themeTint="97"/>
      </w:rPr>
    </w:tblStylePr>
    <w:tblStylePr w:type="band1Vert"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Shade="95" w:themeTint="FE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Shade="95" w:themeTint="FE"/>
      </w:rPr>
    </w:tblStylePr>
    <w:tblStylePr w:type="firstCol">
      <w:rPr>
        <w:b/>
        <w:color w:val="9ABB59" w:themeColor="accent3" w:themeShade="95" w:themeTint="FE"/>
      </w:rPr>
    </w:tblStylePr>
    <w:tblStylePr w:type="lastCol">
      <w:rPr>
        <w:b/>
        <w:color w:val="9ABB59" w:themeColor="accent3" w:themeShade="95" w:themeTint="FE"/>
      </w:rPr>
    </w:tblStylePr>
    <w:tblStylePr w:type="band1Vert"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9ABB59" w:themeColor="accent3" w:themeShade="95" w:themeTint="FE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2Horz">
      <w:rPr>
        <w:rFonts w:ascii="Arial" w:hAnsi="Arial"/>
        <w:color w:val="9ABB59" w:themeColor="accent3" w:themeShade="95" w:themeTint="FE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fill="DAE5F1" w:themeColor="accent1" w:themeTint="34" w:themeFill="accent1" w:themeFillTint="34"/>
      </w:tcPr>
    </w:tblStyle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D99695" w:themeColor="accent2" w:themeShade="95" w:themeTint="97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9ABB59" w:themeColor="accent3" w:themeShade="95" w:themeTint="FE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Shade="95" w:themeTint="FE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9ABB59" w:themeColor="accent3" w:themeShade="95" w:themeTint="FE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2Horz">
      <w:rPr>
        <w:rFonts w:ascii="Arial" w:hAnsi="Arial"/>
        <w:color w:val="9ABB59" w:themeColor="accent3" w:themeShade="95" w:themeTint="FE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1Horz">
      <w:tblPr/>
      <w:tcPr>
        <w:shd w:val="clear" w:color="D2DFEE" w:fill="D2DFEE" w:themeColor="accent1" w:themeTint="40" w:themeFill="accent1" w:themeFillTint="40"/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1Horz">
      <w:tblPr/>
      <w:tcPr>
        <w:shd w:val="clear" w:color="EFD2D2" w:fill="EFD2D2" w:themeColor="accent2" w:themeTint="40" w:themeFill="accent2" w:themeFillTint="40"/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1Horz">
      <w:tblPr/>
      <w:tcPr>
        <w:shd w:val="clear" w:color="E5EED5" w:fill="E5EED5" w:themeColor="accent3" w:themeTint="40" w:themeFill="accent3" w:themeFillTint="40"/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1Horz">
      <w:tblPr/>
      <w:tcPr>
        <w:shd w:val="clear" w:color="DFD8E7" w:fill="DFD8E7" w:themeColor="accent4" w:themeTint="40" w:themeFill="accent4" w:themeFillTint="40"/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1Horz">
      <w:tblPr/>
      <w:tcPr>
        <w:shd w:val="clear" w:color="D1EAF0" w:fill="D1EAF0" w:themeColor="accent5" w:themeTint="40" w:themeFill="accent5" w:themeFillTint="40"/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1Horz">
      <w:tblPr/>
      <w:tcPr>
        <w:shd w:val="clear" w:color="FDE4D0" w:fill="FDE4D0" w:themeColor="accent6" w:themeTint="40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Color="accent3" w:themeTint="98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Color="accent5" w:themeTint="9A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Color="accent6" w:themeTint="98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Color="accent1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Color="accent1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Color="accent1" w:themeFill="accent1"/>
      </w:tc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Color="accent2" w:themeTint="97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Color="accent3" w:themeTint="98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Color="accent4" w:themeTint="9A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Color="accent5" w:themeTint="9A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Color="accent6" w:themeTint="98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Shade="95" w:themeTint="97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Shade="95" w:themeTint="97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Shade="95" w:themeTint="97"/>
      </w:rPr>
    </w:tblStylePr>
    <w:tblStylePr w:type="lastCol">
      <w:rPr>
        <w:b/>
        <w:color w:val="D99695" w:themeColor="accent2" w:themeShade="95" w:themeTint="97"/>
      </w:r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Shade="95" w:themeTint="98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Shade="95" w:themeTint="98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Shade="95" w:themeTint="98"/>
      </w:rPr>
    </w:tblStylePr>
    <w:tblStylePr w:type="lastCol">
      <w:rPr>
        <w:b/>
        <w:color w:val="C3D69B" w:themeColor="accent3" w:themeShade="95" w:themeTint="98"/>
      </w:r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C3D69B" w:themeColor="accent3" w:themeShade="95" w:themeTint="98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2Horz">
      <w:rPr>
        <w:rFonts w:ascii="Arial" w:hAnsi="Arial"/>
        <w:color w:val="C3D69B" w:themeColor="accent3" w:themeShade="95" w:themeTint="98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Shade="95" w:themeTint="9A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Shade="95" w:themeTint="9A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Shade="95" w:themeTint="9A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Shade="95" w:themeTint="9A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Shade="95" w:themeTint="98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Shade="95" w:themeTint="98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1Horz">
      <w:rPr>
        <w:rFonts w:ascii="Arial" w:hAnsi="Arial"/>
        <w:color w:val="C3D69B" w:themeColor="accent3" w:themeShade="95" w:themeTint="98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2Horz">
      <w:rPr>
        <w:rFonts w:ascii="Arial" w:hAnsi="Arial"/>
        <w:color w:val="C3D69B" w:themeColor="accent3" w:themeShade="95" w:themeTint="98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fill="FFFFFF" w:themeColor="light1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FootnoteText">
    <w:name w:val="footnote text"/>
    <w:basedOn w:val="Normal"/>
    <w:link w:val="a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4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5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character" w:customStyle="1" w:styleId="20">
    <w:name w:val="Заголовок 2 Знак"/>
    <w:basedOn w:val="DefaultParagraphFont"/>
    <w:link w:val="Heading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tomsk.gov.ru/documents/front/view/id/104619" TargetMode="External" /><Relationship Id="rId6" Type="http://schemas.openxmlformats.org/officeDocument/2006/relationships/hyperlink" Target="https://rosreestr.gov.ru/" TargetMode="External" /><Relationship Id="rId7" Type="http://schemas.openxmlformats.org/officeDocument/2006/relationships/hyperlink" Target="https://gkoto.ru/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F9763-6A04-40AE-A87E-275CF72F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Точилко Андрей Владимирович</dc:creator>
  <cp:lastModifiedBy>Ольга Моисеевна Галяткина</cp:lastModifiedBy>
  <cp:revision>13</cp:revision>
  <cp:lastPrinted>2025-10-07T10:59:00Z</cp:lastPrinted>
  <dcterms:created xsi:type="dcterms:W3CDTF">2025-10-09T11:13:00Z</dcterms:created>
  <dcterms:modified xsi:type="dcterms:W3CDTF">2025-11-01T11:20:00Z</dcterms:modified>
</cp:coreProperties>
</file>