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852" w:rsidRDefault="003D19AD" w:rsidP="003D19AD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185а</w:t>
      </w:r>
    </w:p>
    <w:p w:rsidR="00E31852" w:rsidRPr="003D19AD" w:rsidRDefault="00E3185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31852" w:rsidRPr="003D19AD" w:rsidRDefault="00E3185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31852" w:rsidRDefault="003D19AD">
      <w:pPr>
        <w:pStyle w:val="Standard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 w:cs="PT Astra Serif"/>
          <w:szCs w:val="26"/>
        </w:rPr>
        <w:br/>
        <w:t>Томской области от 11.05.2023 № 222а</w:t>
      </w:r>
    </w:p>
    <w:p w:rsidR="00E31852" w:rsidRPr="003D19AD" w:rsidRDefault="00E31852">
      <w:pPr>
        <w:pStyle w:val="Standard"/>
        <w:ind w:right="4677" w:firstLine="0"/>
        <w:jc w:val="both"/>
        <w:rPr>
          <w:rFonts w:ascii="PT Astra Serif" w:hAnsi="PT Astra Serif" w:cs="PT Astra Serif"/>
          <w:sz w:val="20"/>
        </w:rPr>
      </w:pPr>
      <w:bookmarkStart w:id="0" w:name="_GoBack"/>
    </w:p>
    <w:p w:rsidR="00E31852" w:rsidRPr="003D19AD" w:rsidRDefault="00E31852">
      <w:pPr>
        <w:pStyle w:val="Standard"/>
        <w:ind w:right="4677" w:firstLine="0"/>
        <w:jc w:val="both"/>
        <w:rPr>
          <w:rFonts w:ascii="PT Astra Serif" w:hAnsi="PT Astra Serif" w:cs="PT Astra Serif"/>
          <w:sz w:val="20"/>
        </w:rPr>
      </w:pPr>
    </w:p>
    <w:bookmarkEnd w:id="0"/>
    <w:p w:rsidR="00E31852" w:rsidRDefault="003D19AD">
      <w:pPr>
        <w:jc w:val="both"/>
        <w:rPr>
          <w:rFonts w:ascii="PT Astra Serif" w:hAnsi="PT Astra Serif" w:cs="PT Astra Serif"/>
          <w:szCs w:val="26"/>
        </w:rPr>
      </w:pPr>
      <w:r>
        <w:rPr>
          <w:rFonts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cs="PT Astra Serif"/>
          <w:szCs w:val="26"/>
        </w:rPr>
        <w:br/>
        <w:t>2002 года № 9-ОЗ «О нормативных правовых актах Томской области»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ПОСТАНОВЛЯЮ: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1. </w:t>
      </w:r>
      <w:r>
        <w:rPr>
          <w:rFonts w:ascii="PT Astra Serif" w:hAnsi="PT Astra Serif" w:cs="PT Astra Serif"/>
          <w:szCs w:val="26"/>
        </w:rPr>
        <w:t>Внести в постановление Администрации Томской области от 11.05.2023 № 222а «Об утверждении Порядка определения объема и предоставления</w:t>
      </w:r>
      <w:r>
        <w:rPr>
          <w:rFonts w:ascii="PT Astra Serif" w:hAnsi="PT Astra Serif" w:cs="PT Astra Serif"/>
          <w:szCs w:val="26"/>
        </w:rPr>
        <w:br/>
        <w:t>из областного бюджета субсидии на реализацию мероприятия по финансовому обеспечению деятельности (докапитализации) региона</w:t>
      </w:r>
      <w:r>
        <w:rPr>
          <w:rFonts w:ascii="PT Astra Serif" w:hAnsi="PT Astra Serif" w:cs="PT Astra Serif"/>
          <w:szCs w:val="26"/>
        </w:rPr>
        <w:t>льного фонда развития промышленности (Некоммерческая организация «Фонд развития промышленности Томской области»)» (Собрание законодательства Томской области, 2023,</w:t>
      </w:r>
      <w:r>
        <w:rPr>
          <w:rFonts w:ascii="PT Astra Serif" w:hAnsi="PT Astra Serif" w:cs="PT Astra Serif"/>
          <w:szCs w:val="26"/>
        </w:rPr>
        <w:br/>
        <w:t>№ 5/2 (315) следующие изменения: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1) в преамбуле слова «Законом Томской области от 27 декабря</w:t>
      </w:r>
      <w:r>
        <w:rPr>
          <w:rFonts w:ascii="PT Astra Serif" w:hAnsi="PT Astra Serif" w:cs="PT Astra Serif"/>
          <w:szCs w:val="26"/>
        </w:rPr>
        <w:t xml:space="preserve"> 2023 года № 128-ОЗ «Об областном бюджете на 2024 год и на плановый период 2025 </w:t>
      </w:r>
      <w:r>
        <w:rPr>
          <w:rFonts w:ascii="PT Astra Serif" w:hAnsi="PT Astra Serif" w:cs="PT Astra Serif"/>
          <w:szCs w:val="26"/>
        </w:rPr>
        <w:br/>
        <w:t>и 2026 годов» исключить;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2) в пункте 4 слово «экономике» заменить словом «промышленности»;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3) в Порядке определения объема и предоставления из областного бюджета субсидии на р</w:t>
      </w:r>
      <w:r>
        <w:rPr>
          <w:rFonts w:ascii="PT Astra Serif" w:hAnsi="PT Astra Serif" w:cs="PT Astra Serif"/>
          <w:szCs w:val="26"/>
        </w:rPr>
        <w:t>еализацию мероприятия по финансовому обеспечению деятельности (докапитализации) регионального фонда развития промышленности (Некоммерческая организация «Фонд развития промышленности Томской области»), утвержденном указанным постановлением (далее – Порядок)</w:t>
      </w:r>
      <w:r>
        <w:rPr>
          <w:rFonts w:ascii="PT Astra Serif" w:hAnsi="PT Astra Serif" w:cs="PT Astra Serif"/>
          <w:szCs w:val="26"/>
        </w:rPr>
        <w:t>:</w:t>
      </w:r>
    </w:p>
    <w:p w:rsidR="00E31852" w:rsidRDefault="003D19AD">
      <w:pPr>
        <w:jc w:val="both"/>
        <w:rPr>
          <w:rFonts w:ascii="PT Astra Serif" w:hAnsi="PT Astra Serif" w:cs="PT Astra Serif"/>
          <w:szCs w:val="26"/>
        </w:rPr>
      </w:pPr>
      <w:r>
        <w:rPr>
          <w:rFonts w:cs="PT Astra Serif"/>
          <w:szCs w:val="26"/>
        </w:rPr>
        <w:t>а) в пункте 5 после слов «Министерством финансов Российской Федерации» дополнить словами «, в течение 10 рабочих дней со дня, следующего за днем доведения бюджетных ассигнований на предоставление субсидии до главного распорядителя бюджетных средств»;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</w:rPr>
        <w:t>б) </w:t>
      </w:r>
      <w:r>
        <w:rPr>
          <w:rFonts w:ascii="PT Astra Serif" w:hAnsi="PT Astra Serif" w:cs="PT Astra Serif"/>
          <w:szCs w:val="26"/>
        </w:rPr>
        <w:t>в подпункте 5) пункта 6 слова «№ 255-ОЗ» заменить словами</w:t>
      </w:r>
      <w:r>
        <w:rPr>
          <w:rFonts w:ascii="PT Astra Serif" w:hAnsi="PT Astra Serif" w:cs="PT Astra Serif"/>
          <w:szCs w:val="26"/>
          <w:highlight w:val="white"/>
        </w:rPr>
        <w:t xml:space="preserve"> «года </w:t>
      </w:r>
      <w:r>
        <w:rPr>
          <w:rFonts w:ascii="PT Astra Serif" w:hAnsi="PT Astra Serif" w:cs="PT Astra Serif"/>
          <w:szCs w:val="26"/>
          <w:highlight w:val="white"/>
        </w:rPr>
        <w:br/>
        <w:t>№ 255-ФЗ»;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в) в пункте 7: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подпункт 2) изложить в следующей редакции: </w:t>
      </w:r>
    </w:p>
    <w:p w:rsidR="00E31852" w:rsidRDefault="003D19AD">
      <w:pPr>
        <w:jc w:val="both"/>
        <w:rPr>
          <w:rFonts w:ascii="PT Astra Serif" w:hAnsi="PT Astra Serif" w:cs="PT Astra Serif"/>
          <w:szCs w:val="26"/>
        </w:rPr>
      </w:pPr>
      <w:r>
        <w:rPr>
          <w:rFonts w:cs="PT Astra Serif"/>
          <w:szCs w:val="26"/>
        </w:rPr>
        <w:t>«2) согласие Фонда, лиц, получающих средства на основании договоров (соглашений), заключенных с Фондом в целях исполнения</w:t>
      </w:r>
      <w:r>
        <w:rPr>
          <w:rFonts w:cs="PT Astra Serif"/>
          <w:szCs w:val="26"/>
        </w:rPr>
        <w:t xml:space="preserve"> обязательств</w:t>
      </w:r>
      <w:r>
        <w:rPr>
          <w:rFonts w:cs="PT Astra Serif"/>
          <w:szCs w:val="26"/>
        </w:rPr>
        <w:br/>
        <w:t>по соглашению о предоставлении субсидии (далее – Соглашение),</w:t>
      </w:r>
      <w:r>
        <w:rPr>
          <w:rFonts w:cs="PT Astra Serif"/>
          <w:szCs w:val="26"/>
        </w:rPr>
        <w:br/>
        <w:t>на осуществление в отношении их проверки главным распорядителем бюджетных средств соблюдения порядка и условий предоставления субсидии, в том числе</w:t>
      </w:r>
      <w:r>
        <w:rPr>
          <w:rFonts w:cs="PT Astra Serif"/>
          <w:szCs w:val="26"/>
        </w:rPr>
        <w:br/>
        <w:t>в части достижения результатов п</w:t>
      </w:r>
      <w:r>
        <w:rPr>
          <w:rFonts w:cs="PT Astra Serif"/>
          <w:szCs w:val="26"/>
        </w:rPr>
        <w:t>редоставления субсидии в соответствии</w:t>
      </w:r>
      <w:r>
        <w:rPr>
          <w:rFonts w:cs="PT Astra Serif"/>
          <w:szCs w:val="26"/>
        </w:rPr>
        <w:br/>
        <w:t>с пунктом 21 настоящего Порядка, а также проверки органами государственного финансового контроля в соответствии со статьями 268.1 и 269.2 Бюджетного кодекса Российской Федерации и на включение таких положений в Соглаше</w:t>
      </w:r>
      <w:r>
        <w:rPr>
          <w:rFonts w:cs="PT Astra Serif"/>
          <w:szCs w:val="26"/>
        </w:rPr>
        <w:t>ние;»;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lastRenderedPageBreak/>
        <w:t>в подпункте 3) после слов «на основании договоров» дополнить словом «(соглашений)»;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подпункт 5) изложить в следующей редакции:</w:t>
      </w:r>
    </w:p>
    <w:p w:rsidR="00E31852" w:rsidRDefault="003D19AD">
      <w:pPr>
        <w:jc w:val="both"/>
        <w:rPr>
          <w:rFonts w:ascii="PT Astra Serif" w:hAnsi="PT Astra Serif" w:cs="PT Astra Serif"/>
          <w:szCs w:val="26"/>
        </w:rPr>
      </w:pPr>
      <w:r>
        <w:rPr>
          <w:rFonts w:cs="PT Astra Serif"/>
          <w:szCs w:val="26"/>
        </w:rPr>
        <w:t xml:space="preserve">«5) заключение Соглашения о предоставлении субсидии, дополнительного соглашения к Соглашению, в том числе дополнительного </w:t>
      </w:r>
      <w:r>
        <w:rPr>
          <w:rFonts w:cs="PT Astra Serif"/>
          <w:szCs w:val="26"/>
        </w:rPr>
        <w:t>соглашения</w:t>
      </w:r>
      <w:r>
        <w:rPr>
          <w:rFonts w:cs="PT Astra Serif"/>
          <w:szCs w:val="26"/>
        </w:rPr>
        <w:br/>
        <w:t>о расторжении Соглашения, в государственной интегрированной информационной системе управления общественными финансами «Электронный бюджет»</w:t>
      </w:r>
      <w:r>
        <w:rPr>
          <w:rFonts w:cs="PT Astra Serif"/>
          <w:szCs w:val="26"/>
        </w:rPr>
        <w:br/>
        <w:t>(при наличии технической возможности) в соответствии с типовыми формами, устанавливаемыми Министерством фи</w:t>
      </w:r>
      <w:r>
        <w:rPr>
          <w:rFonts w:cs="PT Astra Serif"/>
          <w:szCs w:val="26"/>
        </w:rPr>
        <w:t>нансов Российской Федерации.</w:t>
      </w:r>
      <w:r>
        <w:rPr>
          <w:rFonts w:cs="PT Astra Serif"/>
          <w:szCs w:val="26"/>
        </w:rPr>
        <w:br/>
        <w:t>При отсутствии технической возможности заключение Соглашения</w:t>
      </w:r>
      <w:r>
        <w:rPr>
          <w:rFonts w:cs="PT Astra Serif"/>
          <w:szCs w:val="26"/>
        </w:rPr>
        <w:br/>
        <w:t>о предоставлении субсидии, дополнительного соглашения к Соглашению, в том числе дополнительного соглашения о расторжении Соглашения, формируются</w:t>
      </w:r>
      <w:r>
        <w:rPr>
          <w:rFonts w:cs="PT Astra Serif"/>
          <w:szCs w:val="26"/>
        </w:rPr>
        <w:br/>
        <w:t>в форме бумажного док</w:t>
      </w:r>
      <w:r>
        <w:rPr>
          <w:rFonts w:cs="PT Astra Serif"/>
          <w:szCs w:val="26"/>
        </w:rPr>
        <w:t>умента и подписываются сторонами в порядке, предусмотренном пунктами 15, 16 настоящего Порядка.»;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г) в пункте 15: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абзацы первый, второй и третий изложить в следующей редакции: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«15. Соглашение и дополнительное соглашение к Соглашению, в том числе дополнител</w:t>
      </w:r>
      <w:r>
        <w:rPr>
          <w:rFonts w:ascii="PT Astra Serif" w:hAnsi="PT Astra Serif" w:cs="PT Astra Serif"/>
          <w:szCs w:val="26"/>
        </w:rPr>
        <w:t xml:space="preserve">ьное соглашение о расторжении Соглашения, заключаются </w:t>
      </w:r>
      <w:r>
        <w:rPr>
          <w:rFonts w:ascii="PT Astra Serif" w:hAnsi="PT Astra Serif" w:cs="PT Astra Serif"/>
          <w:szCs w:val="26"/>
        </w:rPr>
        <w:br/>
        <w:t>в государственной интегрированной информационной системе управления общественными финансами «Электронный бюджет» (далее – система «Электронный бюджет») (при наличии технической возможности) в соответст</w:t>
      </w:r>
      <w:r>
        <w:rPr>
          <w:rFonts w:ascii="PT Astra Serif" w:hAnsi="PT Astra Serif" w:cs="PT Astra Serif"/>
          <w:szCs w:val="26"/>
        </w:rPr>
        <w:t>вии</w:t>
      </w:r>
      <w:r>
        <w:rPr>
          <w:rFonts w:ascii="PT Astra Serif" w:hAnsi="PT Astra Serif" w:cs="PT Astra Serif"/>
          <w:szCs w:val="26"/>
        </w:rPr>
        <w:br/>
        <w:t xml:space="preserve">с типовыми формами, установленными Министерством финансов Российской Федерации. При отсутствии технической возможности Соглашение </w:t>
      </w:r>
      <w:r>
        <w:rPr>
          <w:rFonts w:ascii="PT Astra Serif" w:hAnsi="PT Astra Serif" w:cs="PT Astra Serif"/>
          <w:szCs w:val="26"/>
        </w:rPr>
        <w:br/>
        <w:t>и дополнительное соглашение к Соглашению, в том числе дополнительное соглашение о расторжении Соглашения, формируются в ф</w:t>
      </w:r>
      <w:r>
        <w:rPr>
          <w:rFonts w:ascii="PT Astra Serif" w:hAnsi="PT Astra Serif" w:cs="PT Astra Serif"/>
          <w:szCs w:val="26"/>
        </w:rPr>
        <w:t>орме бумажного документа и подписываются сторонами.</w:t>
      </w:r>
    </w:p>
    <w:p w:rsidR="00E31852" w:rsidRDefault="003D19AD">
      <w:pPr>
        <w:pStyle w:val="Standard"/>
        <w:jc w:val="both"/>
        <w:rPr>
          <w:rFonts w:cs="PT Astra Serif"/>
          <w:szCs w:val="26"/>
        </w:rPr>
      </w:pPr>
      <w:r>
        <w:rPr>
          <w:rFonts w:ascii="PT Astra Serif" w:hAnsi="PT Astra Serif" w:cs="PT Astra Serif"/>
          <w:szCs w:val="26"/>
        </w:rPr>
        <w:t>Соглашение заключается в течение 7 рабочих дней со дня принятия решения о предоставлении субсидии Фонду. Главный распорядитель бюджетных средств</w:t>
      </w:r>
      <w:r>
        <w:rPr>
          <w:rFonts w:ascii="PT Astra Serif" w:hAnsi="PT Astra Serif" w:cs="PT Astra Serif"/>
          <w:szCs w:val="26"/>
        </w:rPr>
        <w:br/>
        <w:t>в течение 5 рабочих дней со дня принятия решения о предоста</w:t>
      </w:r>
      <w:r>
        <w:rPr>
          <w:rFonts w:ascii="PT Astra Serif" w:hAnsi="PT Astra Serif" w:cs="PT Astra Serif"/>
          <w:szCs w:val="26"/>
        </w:rPr>
        <w:t xml:space="preserve">влении субсидии формирует проект Соглашения и направляет его в системе «Электронный бюджет» (при наличии технической возможности) для подписания Фондом. </w:t>
      </w:r>
      <w:r>
        <w:rPr>
          <w:rFonts w:cs="PT Astra Serif"/>
          <w:szCs w:val="26"/>
        </w:rPr>
        <w:t>При отсутствии технической возможности проект Соглашения формируется и направляется</w:t>
      </w:r>
      <w:r>
        <w:rPr>
          <w:rFonts w:cs="PT Astra Serif"/>
          <w:szCs w:val="26"/>
        </w:rPr>
        <w:br/>
        <w:t>в форме бумажного д</w:t>
      </w:r>
      <w:r>
        <w:rPr>
          <w:rFonts w:cs="PT Astra Serif"/>
          <w:szCs w:val="26"/>
        </w:rPr>
        <w:t>окумента для подписания Фондом.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Фонд не позднее 2 рабочих дней со дня получения проекта Соглашения подписывает его в системе «Электронный бюджет» (при наличии технической возможности). В случае неподписания</w:t>
      </w:r>
      <w:r>
        <w:rPr>
          <w:rFonts w:ascii="PT Astra Serif" w:hAnsi="PT Astra Serif" w:cs="PT Astra Serif"/>
          <w:szCs w:val="26"/>
        </w:rPr>
        <w:t xml:space="preserve"> Соглашения Фондом в течение 2 рабочих дней Фонд считается уклонившимся от подписания Соглашения. </w:t>
      </w:r>
      <w:r>
        <w:rPr>
          <w:rFonts w:cs="PT Astra Serif"/>
          <w:szCs w:val="26"/>
        </w:rPr>
        <w:t>При отсутствии технической возможности проект Соглашения подписывается Фондом не позднее</w:t>
      </w:r>
      <w:r>
        <w:rPr>
          <w:rFonts w:cs="PT Astra Serif"/>
          <w:szCs w:val="26"/>
        </w:rPr>
        <w:br/>
        <w:t>2 рабочих дней со дня получения Фондом проекта Соглашения в форме бум</w:t>
      </w:r>
      <w:r>
        <w:rPr>
          <w:rFonts w:cs="PT Astra Serif"/>
          <w:szCs w:val="26"/>
        </w:rPr>
        <w:t>ажного документа.</w:t>
      </w:r>
      <w:r>
        <w:rPr>
          <w:rFonts w:ascii="PT Astra Serif" w:hAnsi="PT Astra Serif" w:cs="PT Astra Serif"/>
          <w:szCs w:val="26"/>
        </w:rPr>
        <w:t>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подпункт 1) изложить в следующей редакции:</w:t>
      </w:r>
    </w:p>
    <w:p w:rsidR="00E31852" w:rsidRDefault="003D19AD">
      <w:pPr>
        <w:jc w:val="both"/>
        <w:rPr>
          <w:rFonts w:ascii="PT Astra Serif" w:hAnsi="PT Astra Serif" w:cs="PT Astra Serif"/>
          <w:szCs w:val="26"/>
        </w:rPr>
      </w:pPr>
      <w:r>
        <w:rPr>
          <w:rFonts w:cs="PT Astra Serif"/>
          <w:szCs w:val="26"/>
        </w:rPr>
        <w:t>«1) условие о согласии Фонда, лиц, получающих средства на основании договоров (соглашений), заключенных с Фондом в целях исполнения обязательств по Соглашению, на осуществление в отношении их п</w:t>
      </w:r>
      <w:r>
        <w:rPr>
          <w:rFonts w:cs="PT Astra Serif"/>
          <w:szCs w:val="26"/>
        </w:rPr>
        <w:t>роверки главным распорядителем бюджетных средств соблюдения порядка и условий предоставления субсидии, в том числе в части достижения результатов предоставления субсидии в соответствии с пунктом 17 настоящего Порядка,</w:t>
      </w:r>
      <w:r>
        <w:rPr>
          <w:rFonts w:cs="PT Astra Serif"/>
          <w:szCs w:val="26"/>
        </w:rPr>
        <w:br/>
        <w:t>а также проверки органами государствен</w:t>
      </w:r>
      <w:r>
        <w:rPr>
          <w:rFonts w:cs="PT Astra Serif"/>
          <w:szCs w:val="26"/>
        </w:rPr>
        <w:t>ного финансового контроля</w:t>
      </w:r>
      <w:r>
        <w:rPr>
          <w:rFonts w:cs="PT Astra Serif"/>
          <w:szCs w:val="26"/>
        </w:rPr>
        <w:br/>
      </w:r>
      <w:r>
        <w:rPr>
          <w:rFonts w:cs="PT Astra Serif"/>
          <w:szCs w:val="26"/>
        </w:rPr>
        <w:lastRenderedPageBreak/>
        <w:t>в соответствии со статьями 268.1 и 269.2 Бюджетного кодекса Российской Федерации, в соответствии с пунктом 21 настоящего Порядка;»;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 подпункте 3) после слов «на основании договоров» дополнить словом «(соглашений)»;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подпункт 4) до</w:t>
      </w:r>
      <w:r>
        <w:rPr>
          <w:rFonts w:ascii="PT Astra Serif" w:hAnsi="PT Astra Serif" w:cs="PT Astra Serif"/>
          <w:szCs w:val="26"/>
        </w:rPr>
        <w:t>полнить подпунктами ж), з) следующего содержания: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«ж)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разработать и утвердить стандарт финансирования субъектов деятельности в сфере промышленности (далее – стандарт Фонда) на условиях, предусмотренных подпунктом з) пункта 15 и пунктом 18 настоящего Порядк</w:t>
      </w:r>
      <w:r>
        <w:rPr>
          <w:rFonts w:ascii="PT Astra Serif" w:hAnsi="PT Astra Serif" w:cs="PT Astra Serif"/>
          <w:szCs w:val="26"/>
        </w:rPr>
        <w:t>а;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з)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не предоставлять финансовую поддержку субъектам деятельности в сфере промышленности за счет средств областного бюджета, источником софинансирования которых являются средства субсидии из федерального бюджета, выделенные на поддержку региональных прогр</w:t>
      </w:r>
      <w:r>
        <w:rPr>
          <w:rFonts w:ascii="PT Astra Serif" w:hAnsi="PT Astra Serif" w:cs="PT Astra Serif"/>
          <w:szCs w:val="26"/>
        </w:rPr>
        <w:t>амм развития промышленности,</w:t>
      </w:r>
      <w:r>
        <w:rPr>
          <w:rFonts w:ascii="PT Astra Serif" w:hAnsi="PT Astra Serif" w:cs="PT Astra Serif"/>
          <w:szCs w:val="26"/>
        </w:rPr>
        <w:br/>
        <w:t>на реализацию инвестиционных проектов, софинансируемых из федерального бюджета (регионального бюджета) в соответствии с иными нормативными правовыми актами Российской Федерации (нормативными правовыми актами субъектов Российско</w:t>
      </w:r>
      <w:r>
        <w:rPr>
          <w:rFonts w:ascii="PT Astra Serif" w:hAnsi="PT Astra Serif" w:cs="PT Astra Serif"/>
          <w:szCs w:val="26"/>
        </w:rPr>
        <w:t>й Федерации), а также финансируемых федеральным фондом развития промышленности.»;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пункте 16: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подпункты 1), 2) изложить в следующей редакции: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изменение платежных реквизитов любой из сторон. Проект дополнительного соглашения направляется главным распорядителем бюджетных средств в системе «Электронный бюджет» (при наличии технической возможности) для подписания Фондом в течение 5 рабочих дней со д</w:t>
      </w:r>
      <w:r>
        <w:rPr>
          <w:rFonts w:ascii="PT Astra Serif" w:hAnsi="PT Astra Serif" w:cs="PT Astra Serif"/>
          <w:szCs w:val="26"/>
        </w:rPr>
        <w:t xml:space="preserve">ня уведомления Фондом об изменившихся реквизитах либо со дня изменения реквизитов главного распорядителя бюджетных средств. При отсутствии технической возможности </w:t>
      </w:r>
      <w:r>
        <w:rPr>
          <w:rFonts w:cs="PT Astra Serif"/>
          <w:szCs w:val="26"/>
        </w:rPr>
        <w:t>проект дополнительного соглашения направляется главным распорядителем бюджетных средств на бу</w:t>
      </w:r>
      <w:r>
        <w:rPr>
          <w:rFonts w:cs="PT Astra Serif"/>
          <w:szCs w:val="26"/>
        </w:rPr>
        <w:t xml:space="preserve">мажном носителе в порядке </w:t>
      </w:r>
      <w:r>
        <w:rPr>
          <w:rFonts w:cs="PT Astra Serif"/>
          <w:szCs w:val="26"/>
        </w:rPr>
        <w:br/>
        <w:t>и сроки, установленные настоящим подпунктом</w:t>
      </w:r>
      <w:r>
        <w:rPr>
          <w:rFonts w:ascii="PT Astra Serif" w:hAnsi="PT Astra Serif" w:cs="PT Astra Serif"/>
          <w:szCs w:val="26"/>
        </w:rPr>
        <w:t>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уменьшение ранее доведенных до главного распорядителя бюджетных средств лимитов бюджетных обязательств, приводящее к невозможности предоставления субсидии в размере, определенном в </w:t>
      </w:r>
      <w:r>
        <w:rPr>
          <w:rFonts w:ascii="PT Astra Serif" w:hAnsi="PT Astra Serif" w:cs="PT Astra Serif"/>
          <w:szCs w:val="26"/>
        </w:rPr>
        <w:t>Соглашении. В этом случае проект дополнительного соглашения направляется главным распорядителем бюджетных средств в системе «Электронный бюджет» (при наличии технической возможности) для подписания Фондом в течение 5 рабочих дней со дня согласования Фондом</w:t>
      </w:r>
      <w:r>
        <w:rPr>
          <w:rFonts w:ascii="PT Astra Serif" w:hAnsi="PT Astra Serif" w:cs="PT Astra Serif"/>
          <w:szCs w:val="26"/>
        </w:rPr>
        <w:t xml:space="preserve"> новых условий. При отсутствии технической возможности </w:t>
      </w:r>
      <w:r>
        <w:rPr>
          <w:rFonts w:cs="PT Astra Serif"/>
          <w:szCs w:val="26"/>
        </w:rPr>
        <w:t>проект дополнительного соглашения направляется главным распорядителем бюджетных средств на бумажном носителе в порядке и сроки, указанные в абзаце первом настоящего подпункта;</w:t>
      </w:r>
      <w:r>
        <w:rPr>
          <w:rFonts w:ascii="PT Astra Serif" w:hAnsi="PT Astra Serif" w:cs="PT Astra Serif"/>
          <w:szCs w:val="26"/>
        </w:rPr>
        <w:t>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абзац третий подпункта </w:t>
      </w:r>
      <w:r>
        <w:rPr>
          <w:rFonts w:ascii="PT Astra Serif" w:hAnsi="PT Astra Serif" w:cs="PT Astra Serif"/>
          <w:szCs w:val="26"/>
        </w:rPr>
        <w:t>8) изложить в следующей редакции:</w:t>
      </w:r>
    </w:p>
    <w:p w:rsidR="00E31852" w:rsidRDefault="003D19AD">
      <w:pPr>
        <w:pStyle w:val="Standard"/>
        <w:jc w:val="both"/>
      </w:pPr>
      <w:r>
        <w:rPr>
          <w:rFonts w:ascii="PT Astra Serif" w:hAnsi="PT Astra Serif" w:cs="PT Astra Serif"/>
          <w:szCs w:val="26"/>
        </w:rPr>
        <w:t>«Расторжение Соглашения осуществляется по требованию главного распорядителя бюджетных средств в случае недостижения согласия по новым условиям, указанным в подпункте 2) настоящего пункта, в течение 5 дней со дня недостижен</w:t>
      </w:r>
      <w:r>
        <w:rPr>
          <w:rFonts w:ascii="PT Astra Serif" w:hAnsi="PT Astra Serif" w:cs="PT Astra Serif"/>
          <w:szCs w:val="26"/>
        </w:rPr>
        <w:t>ия согласия по новым условиям посредством направления проекта дополнительного соглашения о расторжении Соглашения в системе «Электронный бюджет» (при наличии технической возможности) для подписания Фондом.</w:t>
      </w:r>
      <w:r>
        <w:rPr>
          <w:rFonts w:ascii="PT Astra Serif" w:hAnsi="PT Astra Serif" w:cs="PT Astra Serif"/>
          <w:szCs w:val="26"/>
        </w:rPr>
        <w:br/>
        <w:t xml:space="preserve">При отсутствии технической возможности </w:t>
      </w:r>
      <w:r>
        <w:rPr>
          <w:rFonts w:cs="PT Astra Serif"/>
          <w:szCs w:val="26"/>
        </w:rPr>
        <w:t>проект допо</w:t>
      </w:r>
      <w:r>
        <w:rPr>
          <w:rFonts w:cs="PT Astra Serif"/>
          <w:szCs w:val="26"/>
        </w:rPr>
        <w:t>лнительного соглашения</w:t>
      </w:r>
      <w:r>
        <w:rPr>
          <w:rFonts w:cs="PT Astra Serif"/>
          <w:szCs w:val="26"/>
        </w:rPr>
        <w:br/>
        <w:t>о расторжении соглашения направляется главным распорядителем бюджетных средств на бумажном носителе в порядке и сроки, установленные настоящим подпунктом;»;</w:t>
      </w:r>
    </w:p>
    <w:p w:rsidR="00E31852" w:rsidRDefault="003D19AD">
      <w:pPr>
        <w:pStyle w:val="Standard"/>
        <w:jc w:val="both"/>
      </w:pPr>
      <w:r>
        <w:rPr>
          <w:rFonts w:ascii="PT Astra Serif" w:hAnsi="PT Astra Serif" w:cs="PT Astra Serif"/>
          <w:szCs w:val="26"/>
        </w:rPr>
        <w:lastRenderedPageBreak/>
        <w:t>е)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абзаце четвертом пункта 17 после слов «Министерства промышленности и то</w:t>
      </w:r>
      <w:r>
        <w:rPr>
          <w:rFonts w:ascii="PT Astra Serif" w:hAnsi="PT Astra Serif" w:cs="PT Astra Serif"/>
          <w:szCs w:val="26"/>
        </w:rPr>
        <w:t>рговли Российской Федерации» дополнить словами «(строка 07 графы 4 формы федерального статистического наблюдения № 11 «Сведения о наличии и движении основных фондов (средств) и других нефинансовых активов»)»;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ж)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пункт 18 изложить в следующей редакции:  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</w:t>
      </w:r>
      <w:r>
        <w:rPr>
          <w:rFonts w:ascii="PT Astra Serif" w:hAnsi="PT Astra Serif" w:cs="PT Astra Serif"/>
          <w:szCs w:val="26"/>
        </w:rPr>
        <w:t>8.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Направлением расходов, источником финансового обеспечения которых являются средства субсидии, является предоставление финансовой поддержки субъектам деятельности в сфере промышленности в форме займов на реализацию инвестиционных проектов в порядке и на </w:t>
      </w:r>
      <w:r>
        <w:rPr>
          <w:rFonts w:ascii="PT Astra Serif" w:hAnsi="PT Astra Serif" w:cs="PT Astra Serif"/>
          <w:szCs w:val="26"/>
        </w:rPr>
        <w:t>условиях, предусмотренных стандартом Фонда, предусматривающим следующие условия: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заем предоставляется на производство в рамках инвестиционного проекта промышленной продукции, включенной в перечень приоритетной продукции, определяемый Межведомственной ко</w:t>
      </w:r>
      <w:r>
        <w:rPr>
          <w:rFonts w:ascii="PT Astra Serif" w:hAnsi="PT Astra Serif" w:cs="PT Astra Serif"/>
          <w:szCs w:val="26"/>
        </w:rPr>
        <w:t xml:space="preserve">миссией по вопросам льготного кредитования инвестиционных проектов, направленных на производство приоритетной продукции в соответствии с Положением о Межведомственной комиссии </w:t>
      </w:r>
      <w:r>
        <w:rPr>
          <w:rFonts w:ascii="PT Astra Serif" w:hAnsi="PT Astra Serif" w:cs="PT Astra Serif"/>
          <w:szCs w:val="26"/>
        </w:rPr>
        <w:br/>
        <w:t xml:space="preserve">по вопросам льготного кредитования инвестиционных проектов, направленных </w:t>
      </w:r>
      <w:r>
        <w:rPr>
          <w:rFonts w:ascii="PT Astra Serif" w:hAnsi="PT Astra Serif" w:cs="PT Astra Serif"/>
          <w:szCs w:val="26"/>
        </w:rPr>
        <w:br/>
        <w:t>на пр</w:t>
      </w:r>
      <w:r>
        <w:rPr>
          <w:rFonts w:ascii="PT Astra Serif" w:hAnsi="PT Astra Serif" w:cs="PT Astra Serif"/>
          <w:szCs w:val="26"/>
        </w:rPr>
        <w:t xml:space="preserve">оизводство приоритетной продукции, утвержденным постановлением Правительства Российской Федерации от 22.02.2023 № 295 «О государственной поддержке организаций, реализующих инвестиционные проекты, направленные </w:t>
      </w:r>
      <w:r>
        <w:rPr>
          <w:rFonts w:ascii="PT Astra Serif" w:hAnsi="PT Astra Serif" w:cs="PT Astra Serif"/>
          <w:szCs w:val="26"/>
        </w:rPr>
        <w:br/>
        <w:t>на производство приоритетной продукции»;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за</w:t>
      </w:r>
      <w:r>
        <w:rPr>
          <w:rFonts w:ascii="PT Astra Serif" w:hAnsi="PT Astra Serif" w:cs="PT Astra Serif"/>
          <w:szCs w:val="26"/>
        </w:rPr>
        <w:t>ем, предоставляемый на один инвестиционный проект, не превышает 100 млн. рублей;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процентная ставка по займу устанавливается не ниже 5 процентов годовых;</w:t>
      </w:r>
    </w:p>
    <w:p w:rsidR="00E31852" w:rsidRDefault="003D19AD">
      <w:pPr>
        <w:pStyle w:val="Standard"/>
        <w:jc w:val="both"/>
      </w:pPr>
      <w:r>
        <w:rPr>
          <w:rFonts w:ascii="PT Astra Serif" w:hAnsi="PT Astra Serif" w:cs="PT Astra Serif"/>
          <w:szCs w:val="26"/>
        </w:rPr>
        <w:t>г)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срок займа не превышает 3 года.»;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з)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пункт 20 изложить в следующей редакции: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«20.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Фонд ежеквартал</w:t>
      </w:r>
      <w:r>
        <w:rPr>
          <w:rFonts w:ascii="PT Astra Serif" w:hAnsi="PT Astra Serif" w:cs="PT Astra Serif"/>
          <w:szCs w:val="26"/>
        </w:rPr>
        <w:t>ьно, не позднее 25-го числа второго месяца квартала, следующего за отчетным кварталом, за исключением случая, указанного в абзаце пятом настоящего пункта, представляет главному распорядителю бюджетных средств: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государственной интегрированной информаци</w:t>
      </w:r>
      <w:r>
        <w:rPr>
          <w:rFonts w:ascii="PT Astra Serif" w:hAnsi="PT Astra Serif" w:cs="PT Astra Serif"/>
          <w:szCs w:val="26"/>
        </w:rPr>
        <w:t>онной системе управления общественными финансами «Электронный бюджет» (при наличии технической возможности) отчетность по формам, предусмотренным типовыми формами, установленными Министерством финансов Российской Федерации</w:t>
      </w:r>
      <w:r>
        <w:rPr>
          <w:rFonts w:ascii="PT Astra Serif" w:hAnsi="PT Astra Serif" w:cs="PT Astra Serif"/>
          <w:szCs w:val="26"/>
        </w:rPr>
        <w:br/>
        <w:t>для соглашений: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отчет об осуще</w:t>
      </w:r>
      <w:r>
        <w:rPr>
          <w:rFonts w:ascii="PT Astra Serif" w:hAnsi="PT Astra Serif" w:cs="PT Astra Serif"/>
          <w:szCs w:val="26"/>
        </w:rPr>
        <w:t>ствлении расходов Фондом, источником финансового обеспечения которых является предоставленная субсидия;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отчет о достижении значений результатов предоставления субсидии;</w:t>
      </w:r>
    </w:p>
    <w:p w:rsidR="00E31852" w:rsidRDefault="003D19AD">
      <w:pPr>
        <w:pStyle w:val="Standard"/>
        <w:jc w:val="both"/>
      </w:pPr>
      <w:r>
        <w:rPr>
          <w:rFonts w:ascii="PT Astra Serif" w:hAnsi="PT Astra Serif" w:cs="PT Astra Serif"/>
          <w:szCs w:val="26"/>
        </w:rPr>
        <w:t>За четвертый квартал Фонд предоставляет главному распорядителю бюджетных средств отч</w:t>
      </w:r>
      <w:r>
        <w:rPr>
          <w:rFonts w:ascii="PT Astra Serif" w:hAnsi="PT Astra Serif" w:cs="PT Astra Serif"/>
          <w:szCs w:val="26"/>
        </w:rPr>
        <w:t>ет об осуществлении расходов Фондом, источником финансового обеспечения которых является субсиди</w:t>
      </w:r>
      <w:r>
        <w:rPr>
          <w:rFonts w:ascii="PT Astra Serif" w:hAnsi="PT Astra Serif" w:cs="PT Astra Serif"/>
          <w:szCs w:val="26"/>
          <w:highlight w:val="white"/>
        </w:rPr>
        <w:t>я,</w:t>
      </w:r>
      <w:r>
        <w:rPr>
          <w:rFonts w:ascii="PT Astra Serif" w:hAnsi="PT Astra Serif" w:cs="PT Astra Serif"/>
          <w:szCs w:val="26"/>
        </w:rPr>
        <w:t xml:space="preserve"> не позднее 1-го февраля года, следующего за отчетным годом, и отчет о достижении значений результатов предоставления субсидии не позднее 15-го февраля года, </w:t>
      </w:r>
      <w:r>
        <w:rPr>
          <w:rFonts w:ascii="PT Astra Serif" w:hAnsi="PT Astra Serif" w:cs="PT Astra Serif"/>
          <w:szCs w:val="26"/>
        </w:rPr>
        <w:t>следующего за отчетным годом.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копии документов, заверенных в установленном законодательством Российской Федерации порядке, подтверждающих произведенные за счет субсидии расходы, достижение значений результатов предоставления субсидии.»;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и)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абзаце перв</w:t>
      </w:r>
      <w:r>
        <w:rPr>
          <w:rFonts w:ascii="PT Astra Serif" w:hAnsi="PT Astra Serif" w:cs="PT Astra Serif"/>
          <w:szCs w:val="26"/>
        </w:rPr>
        <w:t>ом пункта 20.1 слова «60 рабочих дней» заменить словами «30 рабочих дней»;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к)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абзаце втором пункта 21 после слов «юридическим лицам,» дополнить словами «в том числе бюджетным и автономным учреждениям,»;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л)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абзац первый пункта 22 изложить в следующей редакции: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«22.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Средства субсидии подлежат возврату Фондом в областной бюджет</w:t>
      </w:r>
      <w:r>
        <w:rPr>
          <w:rFonts w:ascii="PT Astra Serif" w:hAnsi="PT Astra Serif" w:cs="PT Astra Serif"/>
          <w:szCs w:val="26"/>
        </w:rPr>
        <w:br/>
        <w:t>в случаях:»;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м)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 пункте 23: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абзац первый изложить в следующей редакции: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«23.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>Возврат средств субсидии Фондом осуществляется в следующи</w:t>
      </w:r>
      <w:r>
        <w:rPr>
          <w:rFonts w:ascii="PT Astra Serif" w:hAnsi="PT Astra Serif" w:cs="PT Astra Serif"/>
          <w:szCs w:val="26"/>
        </w:rPr>
        <w:t>х размерах:»;</w:t>
      </w:r>
    </w:p>
    <w:p w:rsidR="00E31852" w:rsidRDefault="003D19AD">
      <w:pPr>
        <w:pStyle w:val="Standard"/>
        <w:jc w:val="both"/>
      </w:pPr>
      <w:r>
        <w:rPr>
          <w:rFonts w:ascii="PT Astra Serif" w:hAnsi="PT Astra Serif" w:cs="PT Astra Serif"/>
          <w:szCs w:val="26"/>
        </w:rPr>
        <w:t>в подпункте б) подпункта 1) после слов «расходование которой подтверждено договорами» дополнить словом «(соглашениями)»;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подпункт 3) изложить в следующей редакции:</w:t>
      </w:r>
    </w:p>
    <w:p w:rsidR="00E31852" w:rsidRDefault="003D19AD">
      <w:pPr>
        <w:jc w:val="both"/>
        <w:rPr>
          <w:rFonts w:ascii="PT Astra Serif" w:hAnsi="PT Astra Serif" w:cs="PT Astra Serif"/>
          <w:szCs w:val="26"/>
        </w:rPr>
      </w:pPr>
      <w:r>
        <w:rPr>
          <w:rFonts w:cs="PT Astra Serif"/>
          <w:szCs w:val="26"/>
        </w:rPr>
        <w:t>«3)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в случае, если Фондом ежегодно по состоянию на 31 декабря допущены нарушен</w:t>
      </w:r>
      <w:r>
        <w:rPr>
          <w:rFonts w:cs="PT Astra Serif"/>
          <w:szCs w:val="26"/>
        </w:rPr>
        <w:t>ия обязательств по достижению значений результатов предоставления субсидии, указанных в пункте 17 настоящего Порядка, и в срок до 10 февраля года, следующего за годом предоставления отчетности о достижении значений результатов предоставления субсидии, указ</w:t>
      </w:r>
      <w:r>
        <w:rPr>
          <w:rFonts w:cs="PT Astra Serif"/>
          <w:szCs w:val="26"/>
        </w:rPr>
        <w:t>анные нарушения не устранены, объем средств субсидии, подлежащий возврату в областной бюджет (Vвозврата), рассчитывается по следующей формуле:</w:t>
      </w:r>
    </w:p>
    <w:p w:rsidR="00E31852" w:rsidRDefault="00E31852">
      <w:pPr>
        <w:jc w:val="both"/>
        <w:outlineLvl w:val="0"/>
        <w:rPr>
          <w:rFonts w:ascii="PT Astra Serif" w:hAnsi="PT Astra Serif" w:cs="PT Astra Serif"/>
          <w:sz w:val="22"/>
          <w:szCs w:val="22"/>
        </w:rPr>
      </w:pPr>
    </w:p>
    <w:p w:rsidR="00E31852" w:rsidRDefault="003D19AD">
      <w:pPr>
        <w:jc w:val="center"/>
        <w:rPr>
          <w:rFonts w:cs="PT Astra Serif"/>
          <w:szCs w:val="26"/>
        </w:rPr>
      </w:pPr>
      <w:r>
        <w:rPr>
          <w:rFonts w:cs="PT Astra Serif"/>
          <w:szCs w:val="26"/>
        </w:rPr>
        <w:t>Vвозврата = (Vсубсидии x k x m / n) x 0,1, где:</w:t>
      </w:r>
    </w:p>
    <w:p w:rsidR="00E31852" w:rsidRDefault="00E31852">
      <w:pPr>
        <w:jc w:val="both"/>
        <w:rPr>
          <w:rFonts w:ascii="PT Astra Serif" w:hAnsi="PT Astra Serif" w:cs="PT Astra Serif"/>
          <w:sz w:val="22"/>
          <w:szCs w:val="22"/>
        </w:rPr>
      </w:pP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Vсубсидии</w:t>
      </w:r>
      <w:r>
        <w:rPr>
          <w:rFonts w:cs="PT Astra Serif"/>
          <w:szCs w:val="26"/>
          <w:lang w:val="en-US"/>
        </w:rPr>
        <w:t> </w:t>
      </w:r>
      <w:r w:rsidRPr="003D19AD">
        <w:rPr>
          <w:rFonts w:cs="PT Astra Serif"/>
          <w:szCs w:val="26"/>
        </w:rPr>
        <w:t>–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размер предоставленной субсидии;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k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–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коэффициент во</w:t>
      </w:r>
      <w:r>
        <w:rPr>
          <w:rFonts w:cs="PT Astra Serif"/>
          <w:szCs w:val="26"/>
        </w:rPr>
        <w:t>зврата средств субсидии;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m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–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количество результатов предоставления субсидии, по которым индекс, отражающий уровень недостижения i-го результата предоставления субсидии, имеет положительное значение;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n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–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общее количество результатов предоставления субсидии.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Коэффициент возврата средств субсидии рассчитывается по следующей формуле:</w:t>
      </w:r>
    </w:p>
    <w:p w:rsidR="00E31852" w:rsidRDefault="00E31852">
      <w:pPr>
        <w:jc w:val="both"/>
        <w:rPr>
          <w:rFonts w:ascii="PT Astra Serif" w:hAnsi="PT Astra Serif" w:cs="PT Astra Serif"/>
          <w:sz w:val="22"/>
          <w:szCs w:val="22"/>
        </w:rPr>
      </w:pPr>
    </w:p>
    <w:p w:rsidR="00E31852" w:rsidRDefault="003D19AD">
      <w:pPr>
        <w:jc w:val="center"/>
        <w:rPr>
          <w:rFonts w:cs="PT Astra Serif"/>
          <w:szCs w:val="26"/>
          <w:lang w:val="en-US"/>
        </w:rPr>
      </w:pPr>
      <w:r>
        <w:rPr>
          <w:rFonts w:cs="PT Astra Serif"/>
          <w:szCs w:val="26"/>
          <w:lang w:val="en-US"/>
        </w:rPr>
        <w:t xml:space="preserve">k = SUM Di / m, </w:t>
      </w:r>
      <w:r>
        <w:rPr>
          <w:rFonts w:cs="PT Astra Serif"/>
          <w:szCs w:val="26"/>
        </w:rPr>
        <w:t>где</w:t>
      </w:r>
      <w:r>
        <w:rPr>
          <w:rFonts w:cs="PT Astra Serif"/>
          <w:szCs w:val="26"/>
          <w:lang w:val="en-US"/>
        </w:rPr>
        <w:t>:</w:t>
      </w:r>
    </w:p>
    <w:p w:rsidR="00E31852" w:rsidRDefault="00E31852">
      <w:pPr>
        <w:jc w:val="both"/>
        <w:rPr>
          <w:rFonts w:ascii="PT Astra Serif" w:hAnsi="PT Astra Serif" w:cs="PT Astra Serif"/>
          <w:sz w:val="22"/>
          <w:szCs w:val="22"/>
          <w:lang w:val="en-US"/>
        </w:rPr>
      </w:pP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Di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–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индекс, отражающий уровень недостижения i-го результата предоставления субсидии.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При расчете коэффициента возврата средств субсидии используются только положительные значения индекса, отражающего уровень недостижения</w:t>
      </w:r>
      <w:r>
        <w:rPr>
          <w:rFonts w:cs="PT Astra Serif"/>
          <w:szCs w:val="26"/>
        </w:rPr>
        <w:br/>
        <w:t>i-го результата предоставления субсидии.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Индекс, отражающий уровень недостижения i-го результата предоставления субсидии</w:t>
      </w:r>
      <w:r>
        <w:rPr>
          <w:rFonts w:cs="PT Astra Serif"/>
          <w:szCs w:val="26"/>
        </w:rPr>
        <w:t>, определяется для результатов предоставления субсидии, по которым большее значение фактически достигнутого значения отражает большую эффективность предоставления субсидии, по следующей формуле:</w:t>
      </w:r>
    </w:p>
    <w:p w:rsidR="00E31852" w:rsidRDefault="00E31852">
      <w:pPr>
        <w:jc w:val="both"/>
        <w:rPr>
          <w:rFonts w:ascii="PT Astra Serif" w:hAnsi="PT Astra Serif" w:cs="PT Astra Serif"/>
          <w:sz w:val="22"/>
          <w:szCs w:val="22"/>
        </w:rPr>
      </w:pPr>
    </w:p>
    <w:p w:rsidR="00E31852" w:rsidRDefault="003D19AD">
      <w:pPr>
        <w:jc w:val="center"/>
        <w:rPr>
          <w:rFonts w:cs="PT Astra Serif"/>
          <w:szCs w:val="26"/>
        </w:rPr>
      </w:pPr>
      <w:r>
        <w:rPr>
          <w:rFonts w:cs="PT Astra Serif"/>
          <w:szCs w:val="26"/>
        </w:rPr>
        <w:t>Di = 1 – Ti / Si, где:</w:t>
      </w:r>
    </w:p>
    <w:p w:rsidR="00E31852" w:rsidRDefault="00E31852">
      <w:pPr>
        <w:jc w:val="both"/>
        <w:rPr>
          <w:rFonts w:ascii="PT Astra Serif" w:hAnsi="PT Astra Serif" w:cs="PT Astra Serif"/>
          <w:sz w:val="22"/>
          <w:szCs w:val="22"/>
        </w:rPr>
      </w:pP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Ti –</w:t>
      </w:r>
      <w:r>
        <w:rPr>
          <w:rFonts w:cs="PT Astra Serif"/>
          <w:szCs w:val="26"/>
          <w:lang w:val="en-US"/>
        </w:rPr>
        <w:t> </w:t>
      </w:r>
      <w:r>
        <w:rPr>
          <w:rFonts w:cs="PT Astra Serif"/>
          <w:szCs w:val="26"/>
        </w:rPr>
        <w:t>фактически достигнутое значение</w:t>
      </w:r>
      <w:r>
        <w:rPr>
          <w:rFonts w:cs="PT Astra Serif"/>
          <w:szCs w:val="26"/>
        </w:rPr>
        <w:t xml:space="preserve"> i-го результата предоставления субсидии на отчетную дату;</w:t>
      </w:r>
    </w:p>
    <w:p w:rsidR="00E31852" w:rsidRDefault="003D19AD">
      <w:pPr>
        <w:jc w:val="both"/>
        <w:rPr>
          <w:rFonts w:cs="PT Astra Serif"/>
          <w:szCs w:val="26"/>
        </w:rPr>
      </w:pPr>
      <w:r>
        <w:rPr>
          <w:rFonts w:cs="PT Astra Serif"/>
          <w:szCs w:val="26"/>
        </w:rPr>
        <w:t>Si – плановое значение i-го результата предоставления субсидии, установленное Соглашением.»;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н) пункт 24 изложить в следующей редакции: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«24. </w:t>
      </w:r>
      <w:r>
        <w:rPr>
          <w:rFonts w:ascii="PT Astra Serif" w:hAnsi="PT Astra Serif" w:cs="PT Astra Serif"/>
          <w:szCs w:val="26"/>
        </w:rPr>
        <w:t xml:space="preserve">Возврат средств субсидии осуществляется на основании направленного главным распорядителем бюджетных средств Фонду письменного требования </w:t>
      </w:r>
      <w:r>
        <w:rPr>
          <w:rFonts w:ascii="PT Astra Serif" w:hAnsi="PT Astra Serif" w:cs="PT Astra Serif"/>
          <w:szCs w:val="26"/>
        </w:rPr>
        <w:br/>
        <w:t>о возврате суммы средств субсидии (далее – требование).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 течение десяти рабочих дней со дня получения требования Фонд</w:t>
      </w:r>
      <w:r>
        <w:rPr>
          <w:rFonts w:ascii="PT Astra Serif" w:hAnsi="PT Astra Serif" w:cs="PT Astra Serif"/>
          <w:szCs w:val="26"/>
        </w:rPr>
        <w:t xml:space="preserve"> осуществляет возврат средств субсидии в областной бюджет по платежным реквизитам, указанным в требовании, или направляет в адрес главного распорядителя бюджетных средств ответ с мотивированным отказом от возврата средств субсидии.</w:t>
      </w:r>
    </w:p>
    <w:p w:rsidR="00E31852" w:rsidRDefault="003D19AD">
      <w:pPr>
        <w:pStyle w:val="Standard"/>
        <w:jc w:val="both"/>
      </w:pPr>
      <w:r>
        <w:rPr>
          <w:rFonts w:ascii="PT Astra Serif" w:hAnsi="PT Astra Serif" w:cs="PT Astra Serif"/>
          <w:szCs w:val="26"/>
        </w:rPr>
        <w:t>В случае отказа Фонда от</w:t>
      </w:r>
      <w:r>
        <w:rPr>
          <w:rFonts w:ascii="PT Astra Serif" w:hAnsi="PT Astra Serif" w:cs="PT Astra Serif"/>
          <w:szCs w:val="26"/>
        </w:rPr>
        <w:t xml:space="preserve"> добровольного возврата средств субсидии</w:t>
      </w:r>
      <w:r>
        <w:rPr>
          <w:rFonts w:ascii="PT Astra Serif" w:hAnsi="PT Astra Serif" w:cs="PT Astra Serif"/>
          <w:szCs w:val="26"/>
        </w:rPr>
        <w:br/>
        <w:t>в установленный для осуществления возврата срок средства субсидии подлежат взысканию главным распорядителем бюджетных средств в судебном порядке</w:t>
      </w:r>
      <w:r>
        <w:rPr>
          <w:rFonts w:ascii="PT Astra Serif" w:hAnsi="PT Astra Serif" w:cs="PT Astra Serif"/>
          <w:szCs w:val="26"/>
        </w:rPr>
        <w:br/>
        <w:t>в соответствии с законодательством Российской Федерации в течение 3 ме</w:t>
      </w:r>
      <w:r>
        <w:rPr>
          <w:rFonts w:ascii="PT Astra Serif" w:hAnsi="PT Astra Serif" w:cs="PT Astra Serif"/>
          <w:szCs w:val="26"/>
        </w:rPr>
        <w:t>сяцев</w:t>
      </w:r>
      <w:r>
        <w:rPr>
          <w:rFonts w:ascii="PT Astra Serif" w:hAnsi="PT Astra Serif" w:cs="PT Astra Serif"/>
          <w:szCs w:val="26"/>
        </w:rPr>
        <w:br/>
        <w:t>со дня истечения срока, указанного в требовании.».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E31852" w:rsidRDefault="003D19AD">
      <w:pPr>
        <w:pStyle w:val="Standard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Настоящее постановление вступает в силу со дня его официального опубликован</w:t>
      </w:r>
      <w:r>
        <w:rPr>
          <w:rFonts w:ascii="PT Astra Serif" w:hAnsi="PT Astra Serif" w:cs="PT Astra Serif"/>
          <w:szCs w:val="26"/>
        </w:rPr>
        <w:t>ия.</w:t>
      </w:r>
    </w:p>
    <w:p w:rsidR="00E31852" w:rsidRDefault="00E31852">
      <w:pPr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E31852" w:rsidRDefault="00E31852">
      <w:pPr>
        <w:ind w:firstLine="0"/>
        <w:jc w:val="both"/>
        <w:rPr>
          <w:rFonts w:ascii="PT Astra Serif" w:hAnsi="PT Astra Serif"/>
          <w:szCs w:val="26"/>
        </w:rPr>
      </w:pPr>
    </w:p>
    <w:p w:rsidR="00E31852" w:rsidRDefault="00E31852">
      <w:pPr>
        <w:ind w:firstLine="0"/>
        <w:jc w:val="both"/>
        <w:rPr>
          <w:rFonts w:ascii="PT Astra Serif" w:hAnsi="PT Astra Serif"/>
          <w:szCs w:val="26"/>
        </w:rPr>
      </w:pPr>
    </w:p>
    <w:p w:rsidR="00E31852" w:rsidRDefault="00E31852">
      <w:pPr>
        <w:ind w:firstLine="0"/>
        <w:jc w:val="both"/>
        <w:rPr>
          <w:rFonts w:ascii="PT Astra Serif" w:hAnsi="PT Astra Serif"/>
          <w:szCs w:val="26"/>
        </w:rPr>
      </w:pPr>
    </w:p>
    <w:p w:rsidR="00E31852" w:rsidRDefault="003D19AD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В.В. Мазур</w:t>
      </w: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E31852">
      <w:pPr>
        <w:ind w:firstLine="0"/>
        <w:rPr>
          <w:rFonts w:ascii="PT Astra Serif" w:hAnsi="PT Astra Serif"/>
          <w:sz w:val="20"/>
        </w:rPr>
      </w:pPr>
    </w:p>
    <w:p w:rsidR="00E31852" w:rsidRDefault="003D19AD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Бородулин Г.А.</w:t>
      </w:r>
    </w:p>
    <w:p w:rsidR="00E31852" w:rsidRDefault="003D19AD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0517pv01.</w:t>
      </w:r>
      <w:r>
        <w:rPr>
          <w:rFonts w:ascii="PT Astra Serif" w:hAnsi="PT Astra Serif"/>
          <w:sz w:val="20"/>
          <w:lang w:val="en-US"/>
        </w:rPr>
        <w:t>p</w:t>
      </w:r>
      <w:r>
        <w:rPr>
          <w:rFonts w:ascii="PT Astra Serif" w:hAnsi="PT Astra Serif"/>
          <w:sz w:val="20"/>
        </w:rPr>
        <w:t>a2026</w:t>
      </w:r>
      <w:bookmarkStart w:id="1" w:name="P47"/>
      <w:bookmarkEnd w:id="1"/>
    </w:p>
    <w:sectPr w:rsidR="00E31852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52" w:rsidRDefault="003D19AD">
      <w:r>
        <w:separator/>
      </w:r>
    </w:p>
  </w:endnote>
  <w:endnote w:type="continuationSeparator" w:id="0">
    <w:p w:rsidR="00E31852" w:rsidRDefault="003D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52" w:rsidRDefault="003D19AD">
      <w:r>
        <w:separator/>
      </w:r>
    </w:p>
  </w:footnote>
  <w:footnote w:type="continuationSeparator" w:id="0">
    <w:p w:rsidR="00E31852" w:rsidRDefault="003D1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E31852" w:rsidRDefault="003D19AD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52" w:rsidRDefault="003D19A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31852" w:rsidRDefault="003D19AD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E31852" w:rsidRDefault="003D19AD" w:rsidP="003D19AD">
    <w:pPr>
      <w:tabs>
        <w:tab w:val="left" w:pos="3015"/>
        <w:tab w:val="center" w:pos="4153"/>
        <w:tab w:val="center" w:pos="4677"/>
        <w:tab w:val="right" w:pos="8306"/>
      </w:tabs>
      <w:spacing w:before="240"/>
      <w:ind w:firstLine="0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ab/>
    </w:r>
    <w:r>
      <w:rPr>
        <w:rFonts w:ascii="PT Astra Serif" w:hAnsi="PT Astra Serif"/>
        <w:b/>
        <w:caps/>
        <w:spacing w:val="20"/>
        <w:sz w:val="28"/>
        <w:szCs w:val="28"/>
      </w:rPr>
      <w:tab/>
    </w: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E31852" w:rsidRPr="003D19AD" w:rsidRDefault="00E31852">
    <w:pPr>
      <w:tabs>
        <w:tab w:val="center" w:pos="4153"/>
        <w:tab w:val="right" w:pos="8306"/>
      </w:tabs>
      <w:ind w:firstLine="0"/>
      <w:rPr>
        <w:rFonts w:ascii="PT Astra Serif" w:hAnsi="PT Astra Serif"/>
        <w:caps/>
        <w:spacing w:val="20"/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E5965"/>
    <w:multiLevelType w:val="hybridMultilevel"/>
    <w:tmpl w:val="5C2A2154"/>
    <w:lvl w:ilvl="0" w:tplc="E3585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183E56">
      <w:start w:val="1"/>
      <w:numFmt w:val="lowerLetter"/>
      <w:lvlText w:val="%2."/>
      <w:lvlJc w:val="left"/>
      <w:pPr>
        <w:ind w:left="1440" w:hanging="360"/>
      </w:pPr>
    </w:lvl>
    <w:lvl w:ilvl="2" w:tplc="FD506C02">
      <w:start w:val="1"/>
      <w:numFmt w:val="lowerRoman"/>
      <w:lvlText w:val="%3."/>
      <w:lvlJc w:val="right"/>
      <w:pPr>
        <w:ind w:left="2160" w:hanging="180"/>
      </w:pPr>
    </w:lvl>
    <w:lvl w:ilvl="3" w:tplc="FBD0FF6C">
      <w:start w:val="1"/>
      <w:numFmt w:val="decimal"/>
      <w:lvlText w:val="%4."/>
      <w:lvlJc w:val="left"/>
      <w:pPr>
        <w:ind w:left="2880" w:hanging="360"/>
      </w:pPr>
    </w:lvl>
    <w:lvl w:ilvl="4" w:tplc="55309AEE">
      <w:start w:val="1"/>
      <w:numFmt w:val="lowerLetter"/>
      <w:lvlText w:val="%5."/>
      <w:lvlJc w:val="left"/>
      <w:pPr>
        <w:ind w:left="3600" w:hanging="360"/>
      </w:pPr>
    </w:lvl>
    <w:lvl w:ilvl="5" w:tplc="03F4E9A4">
      <w:start w:val="1"/>
      <w:numFmt w:val="lowerRoman"/>
      <w:lvlText w:val="%6."/>
      <w:lvlJc w:val="right"/>
      <w:pPr>
        <w:ind w:left="4320" w:hanging="180"/>
      </w:pPr>
    </w:lvl>
    <w:lvl w:ilvl="6" w:tplc="CCDCC12E">
      <w:start w:val="1"/>
      <w:numFmt w:val="decimal"/>
      <w:lvlText w:val="%7."/>
      <w:lvlJc w:val="left"/>
      <w:pPr>
        <w:ind w:left="5040" w:hanging="360"/>
      </w:pPr>
    </w:lvl>
    <w:lvl w:ilvl="7" w:tplc="ACB89982">
      <w:start w:val="1"/>
      <w:numFmt w:val="lowerLetter"/>
      <w:lvlText w:val="%8."/>
      <w:lvlJc w:val="left"/>
      <w:pPr>
        <w:ind w:left="5760" w:hanging="360"/>
      </w:pPr>
    </w:lvl>
    <w:lvl w:ilvl="8" w:tplc="BC9671E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83A58"/>
    <w:multiLevelType w:val="hybridMultilevel"/>
    <w:tmpl w:val="E9EC861A"/>
    <w:lvl w:ilvl="0" w:tplc="3C922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5410BA">
      <w:start w:val="1"/>
      <w:numFmt w:val="lowerLetter"/>
      <w:lvlText w:val="%2."/>
      <w:lvlJc w:val="left"/>
      <w:pPr>
        <w:ind w:left="1440" w:hanging="360"/>
      </w:pPr>
    </w:lvl>
    <w:lvl w:ilvl="2" w:tplc="0F1E36AE">
      <w:start w:val="1"/>
      <w:numFmt w:val="lowerRoman"/>
      <w:lvlText w:val="%3."/>
      <w:lvlJc w:val="right"/>
      <w:pPr>
        <w:ind w:left="2160" w:hanging="180"/>
      </w:pPr>
    </w:lvl>
    <w:lvl w:ilvl="3" w:tplc="04442304">
      <w:start w:val="1"/>
      <w:numFmt w:val="decimal"/>
      <w:lvlText w:val="%4."/>
      <w:lvlJc w:val="left"/>
      <w:pPr>
        <w:ind w:left="2880" w:hanging="360"/>
      </w:pPr>
    </w:lvl>
    <w:lvl w:ilvl="4" w:tplc="BC3CC55E">
      <w:start w:val="1"/>
      <w:numFmt w:val="lowerLetter"/>
      <w:lvlText w:val="%5."/>
      <w:lvlJc w:val="left"/>
      <w:pPr>
        <w:ind w:left="3600" w:hanging="360"/>
      </w:pPr>
    </w:lvl>
    <w:lvl w:ilvl="5" w:tplc="1CA0A042">
      <w:start w:val="1"/>
      <w:numFmt w:val="lowerRoman"/>
      <w:lvlText w:val="%6."/>
      <w:lvlJc w:val="right"/>
      <w:pPr>
        <w:ind w:left="4320" w:hanging="180"/>
      </w:pPr>
    </w:lvl>
    <w:lvl w:ilvl="6" w:tplc="6E82CB16">
      <w:start w:val="1"/>
      <w:numFmt w:val="decimal"/>
      <w:lvlText w:val="%7."/>
      <w:lvlJc w:val="left"/>
      <w:pPr>
        <w:ind w:left="5040" w:hanging="360"/>
      </w:pPr>
    </w:lvl>
    <w:lvl w:ilvl="7" w:tplc="A3324D1C">
      <w:start w:val="1"/>
      <w:numFmt w:val="lowerLetter"/>
      <w:lvlText w:val="%8."/>
      <w:lvlJc w:val="left"/>
      <w:pPr>
        <w:ind w:left="5760" w:hanging="360"/>
      </w:pPr>
    </w:lvl>
    <w:lvl w:ilvl="8" w:tplc="84D6848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5AB2"/>
    <w:multiLevelType w:val="hybridMultilevel"/>
    <w:tmpl w:val="315E71F4"/>
    <w:lvl w:ilvl="0" w:tplc="FE0CB87C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F703A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5A5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4C4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34D5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606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7AED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5464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267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5F4AC3"/>
    <w:multiLevelType w:val="hybridMultilevel"/>
    <w:tmpl w:val="D286F57C"/>
    <w:lvl w:ilvl="0" w:tplc="18B66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9C6C2E">
      <w:start w:val="1"/>
      <w:numFmt w:val="lowerLetter"/>
      <w:lvlText w:val="%2."/>
      <w:lvlJc w:val="left"/>
      <w:pPr>
        <w:ind w:left="1440" w:hanging="360"/>
      </w:pPr>
    </w:lvl>
    <w:lvl w:ilvl="2" w:tplc="77A8CCBE">
      <w:start w:val="1"/>
      <w:numFmt w:val="lowerRoman"/>
      <w:lvlText w:val="%3."/>
      <w:lvlJc w:val="right"/>
      <w:pPr>
        <w:ind w:left="2160" w:hanging="180"/>
      </w:pPr>
    </w:lvl>
    <w:lvl w:ilvl="3" w:tplc="0CB83FBC">
      <w:start w:val="1"/>
      <w:numFmt w:val="decimal"/>
      <w:lvlText w:val="%4."/>
      <w:lvlJc w:val="left"/>
      <w:pPr>
        <w:ind w:left="2880" w:hanging="360"/>
      </w:pPr>
    </w:lvl>
    <w:lvl w:ilvl="4" w:tplc="7972A0B8">
      <w:start w:val="1"/>
      <w:numFmt w:val="lowerLetter"/>
      <w:lvlText w:val="%5."/>
      <w:lvlJc w:val="left"/>
      <w:pPr>
        <w:ind w:left="3600" w:hanging="360"/>
      </w:pPr>
    </w:lvl>
    <w:lvl w:ilvl="5" w:tplc="21F04ADA">
      <w:start w:val="1"/>
      <w:numFmt w:val="lowerRoman"/>
      <w:lvlText w:val="%6."/>
      <w:lvlJc w:val="right"/>
      <w:pPr>
        <w:ind w:left="4320" w:hanging="180"/>
      </w:pPr>
    </w:lvl>
    <w:lvl w:ilvl="6" w:tplc="DFA20844">
      <w:start w:val="1"/>
      <w:numFmt w:val="decimal"/>
      <w:lvlText w:val="%7."/>
      <w:lvlJc w:val="left"/>
      <w:pPr>
        <w:ind w:left="5040" w:hanging="360"/>
      </w:pPr>
    </w:lvl>
    <w:lvl w:ilvl="7" w:tplc="874CD890">
      <w:start w:val="1"/>
      <w:numFmt w:val="lowerLetter"/>
      <w:lvlText w:val="%8."/>
      <w:lvlJc w:val="left"/>
      <w:pPr>
        <w:ind w:left="5760" w:hanging="360"/>
      </w:pPr>
    </w:lvl>
    <w:lvl w:ilvl="8" w:tplc="CA84E5E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44DCE"/>
    <w:multiLevelType w:val="hybridMultilevel"/>
    <w:tmpl w:val="18389F70"/>
    <w:lvl w:ilvl="0" w:tplc="006C96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8A9B4C">
      <w:start w:val="1"/>
      <w:numFmt w:val="lowerLetter"/>
      <w:lvlText w:val="%2."/>
      <w:lvlJc w:val="left"/>
      <w:pPr>
        <w:ind w:left="1440" w:hanging="360"/>
      </w:pPr>
    </w:lvl>
    <w:lvl w:ilvl="2" w:tplc="41B4F08C">
      <w:start w:val="1"/>
      <w:numFmt w:val="lowerRoman"/>
      <w:lvlText w:val="%3."/>
      <w:lvlJc w:val="right"/>
      <w:pPr>
        <w:ind w:left="2160" w:hanging="180"/>
      </w:pPr>
    </w:lvl>
    <w:lvl w:ilvl="3" w:tplc="E65E4EBC">
      <w:start w:val="1"/>
      <w:numFmt w:val="decimal"/>
      <w:lvlText w:val="%4."/>
      <w:lvlJc w:val="left"/>
      <w:pPr>
        <w:ind w:left="2880" w:hanging="360"/>
      </w:pPr>
    </w:lvl>
    <w:lvl w:ilvl="4" w:tplc="D6D41FCA">
      <w:start w:val="1"/>
      <w:numFmt w:val="lowerLetter"/>
      <w:lvlText w:val="%5."/>
      <w:lvlJc w:val="left"/>
      <w:pPr>
        <w:ind w:left="3600" w:hanging="360"/>
      </w:pPr>
    </w:lvl>
    <w:lvl w:ilvl="5" w:tplc="0F2452BA">
      <w:start w:val="1"/>
      <w:numFmt w:val="lowerRoman"/>
      <w:lvlText w:val="%6."/>
      <w:lvlJc w:val="right"/>
      <w:pPr>
        <w:ind w:left="4320" w:hanging="180"/>
      </w:pPr>
    </w:lvl>
    <w:lvl w:ilvl="6" w:tplc="2458B836">
      <w:start w:val="1"/>
      <w:numFmt w:val="decimal"/>
      <w:lvlText w:val="%7."/>
      <w:lvlJc w:val="left"/>
      <w:pPr>
        <w:ind w:left="5040" w:hanging="360"/>
      </w:pPr>
    </w:lvl>
    <w:lvl w:ilvl="7" w:tplc="963029E4">
      <w:start w:val="1"/>
      <w:numFmt w:val="lowerLetter"/>
      <w:lvlText w:val="%8."/>
      <w:lvlJc w:val="left"/>
      <w:pPr>
        <w:ind w:left="5760" w:hanging="360"/>
      </w:pPr>
    </w:lvl>
    <w:lvl w:ilvl="8" w:tplc="9DE4B8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20B72"/>
    <w:multiLevelType w:val="hybridMultilevel"/>
    <w:tmpl w:val="A2505702"/>
    <w:lvl w:ilvl="0" w:tplc="7D1C1CF8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AC80346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EC6395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AA66AC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560684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D2A5EB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2CE664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7C4AC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FEC075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0F4727D"/>
    <w:multiLevelType w:val="hybridMultilevel"/>
    <w:tmpl w:val="E48EAAC0"/>
    <w:lvl w:ilvl="0" w:tplc="3042BF3A">
      <w:start w:val="1"/>
      <w:numFmt w:val="decimal"/>
      <w:pStyle w:val="a"/>
      <w:lvlText w:val="%1."/>
      <w:lvlJc w:val="left"/>
      <w:pPr>
        <w:ind w:left="720" w:hanging="360"/>
      </w:pPr>
    </w:lvl>
    <w:lvl w:ilvl="1" w:tplc="B8C61E0A">
      <w:start w:val="1"/>
      <w:numFmt w:val="lowerLetter"/>
      <w:lvlText w:val="%2."/>
      <w:lvlJc w:val="left"/>
      <w:pPr>
        <w:ind w:left="1440" w:hanging="360"/>
      </w:pPr>
    </w:lvl>
    <w:lvl w:ilvl="2" w:tplc="D13C5FAC">
      <w:start w:val="1"/>
      <w:numFmt w:val="lowerRoman"/>
      <w:lvlText w:val="%3."/>
      <w:lvlJc w:val="right"/>
      <w:pPr>
        <w:ind w:left="2160" w:hanging="180"/>
      </w:pPr>
    </w:lvl>
    <w:lvl w:ilvl="3" w:tplc="AC720936">
      <w:start w:val="1"/>
      <w:numFmt w:val="decimal"/>
      <w:lvlText w:val="%4."/>
      <w:lvlJc w:val="left"/>
      <w:pPr>
        <w:ind w:left="2880" w:hanging="360"/>
      </w:pPr>
    </w:lvl>
    <w:lvl w:ilvl="4" w:tplc="A3961E5A">
      <w:start w:val="1"/>
      <w:numFmt w:val="lowerLetter"/>
      <w:lvlText w:val="%5."/>
      <w:lvlJc w:val="left"/>
      <w:pPr>
        <w:ind w:left="3600" w:hanging="360"/>
      </w:pPr>
    </w:lvl>
    <w:lvl w:ilvl="5" w:tplc="BBDC8C18">
      <w:start w:val="1"/>
      <w:numFmt w:val="lowerRoman"/>
      <w:lvlText w:val="%6."/>
      <w:lvlJc w:val="right"/>
      <w:pPr>
        <w:ind w:left="4320" w:hanging="180"/>
      </w:pPr>
    </w:lvl>
    <w:lvl w:ilvl="6" w:tplc="FEFEE234">
      <w:start w:val="1"/>
      <w:numFmt w:val="decimal"/>
      <w:lvlText w:val="%7."/>
      <w:lvlJc w:val="left"/>
      <w:pPr>
        <w:ind w:left="5040" w:hanging="360"/>
      </w:pPr>
    </w:lvl>
    <w:lvl w:ilvl="7" w:tplc="A5BA6CEE">
      <w:start w:val="1"/>
      <w:numFmt w:val="lowerLetter"/>
      <w:lvlText w:val="%8."/>
      <w:lvlJc w:val="left"/>
      <w:pPr>
        <w:ind w:left="5760" w:hanging="360"/>
      </w:pPr>
    </w:lvl>
    <w:lvl w:ilvl="8" w:tplc="49AA85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A655B"/>
    <w:multiLevelType w:val="hybridMultilevel"/>
    <w:tmpl w:val="37F04434"/>
    <w:lvl w:ilvl="0" w:tplc="F0CC6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304D9C">
      <w:start w:val="1"/>
      <w:numFmt w:val="lowerLetter"/>
      <w:lvlText w:val="%2."/>
      <w:lvlJc w:val="left"/>
      <w:pPr>
        <w:ind w:left="1440" w:hanging="360"/>
      </w:pPr>
    </w:lvl>
    <w:lvl w:ilvl="2" w:tplc="EC2AC90E">
      <w:start w:val="1"/>
      <w:numFmt w:val="lowerRoman"/>
      <w:lvlText w:val="%3."/>
      <w:lvlJc w:val="right"/>
      <w:pPr>
        <w:ind w:left="2160" w:hanging="180"/>
      </w:pPr>
    </w:lvl>
    <w:lvl w:ilvl="3" w:tplc="A88C8AE0">
      <w:start w:val="1"/>
      <w:numFmt w:val="decimal"/>
      <w:lvlText w:val="%4."/>
      <w:lvlJc w:val="left"/>
      <w:pPr>
        <w:ind w:left="2880" w:hanging="360"/>
      </w:pPr>
    </w:lvl>
    <w:lvl w:ilvl="4" w:tplc="5A747AFE">
      <w:start w:val="1"/>
      <w:numFmt w:val="lowerLetter"/>
      <w:lvlText w:val="%5."/>
      <w:lvlJc w:val="left"/>
      <w:pPr>
        <w:ind w:left="3600" w:hanging="360"/>
      </w:pPr>
    </w:lvl>
    <w:lvl w:ilvl="5" w:tplc="CA12C9EA">
      <w:start w:val="1"/>
      <w:numFmt w:val="lowerRoman"/>
      <w:lvlText w:val="%6."/>
      <w:lvlJc w:val="right"/>
      <w:pPr>
        <w:ind w:left="4320" w:hanging="180"/>
      </w:pPr>
    </w:lvl>
    <w:lvl w:ilvl="6" w:tplc="A7AACD0C">
      <w:start w:val="1"/>
      <w:numFmt w:val="decimal"/>
      <w:lvlText w:val="%7."/>
      <w:lvlJc w:val="left"/>
      <w:pPr>
        <w:ind w:left="5040" w:hanging="360"/>
      </w:pPr>
    </w:lvl>
    <w:lvl w:ilvl="7" w:tplc="E3688FBE">
      <w:start w:val="1"/>
      <w:numFmt w:val="lowerLetter"/>
      <w:lvlText w:val="%8."/>
      <w:lvlJc w:val="left"/>
      <w:pPr>
        <w:ind w:left="5760" w:hanging="360"/>
      </w:pPr>
    </w:lvl>
    <w:lvl w:ilvl="8" w:tplc="1670124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D1BB9"/>
    <w:multiLevelType w:val="hybridMultilevel"/>
    <w:tmpl w:val="8B8CDDD4"/>
    <w:lvl w:ilvl="0" w:tplc="BBE4CAAA">
      <w:start w:val="1"/>
      <w:numFmt w:val="decimal"/>
      <w:lvlText w:val="%1."/>
      <w:lvlJc w:val="left"/>
      <w:pPr>
        <w:ind w:left="1729" w:hanging="1020"/>
      </w:pPr>
    </w:lvl>
    <w:lvl w:ilvl="1" w:tplc="713C6D76">
      <w:start w:val="1"/>
      <w:numFmt w:val="lowerLetter"/>
      <w:lvlText w:val="%2."/>
      <w:lvlJc w:val="left"/>
      <w:pPr>
        <w:ind w:left="1789" w:hanging="360"/>
      </w:pPr>
    </w:lvl>
    <w:lvl w:ilvl="2" w:tplc="BA26E7BC">
      <w:start w:val="1"/>
      <w:numFmt w:val="lowerRoman"/>
      <w:lvlText w:val="%3."/>
      <w:lvlJc w:val="right"/>
      <w:pPr>
        <w:ind w:left="2509" w:hanging="180"/>
      </w:pPr>
    </w:lvl>
    <w:lvl w:ilvl="3" w:tplc="CDE8F43E">
      <w:start w:val="1"/>
      <w:numFmt w:val="decimal"/>
      <w:lvlText w:val="%4."/>
      <w:lvlJc w:val="left"/>
      <w:pPr>
        <w:ind w:left="3229" w:hanging="360"/>
      </w:pPr>
    </w:lvl>
    <w:lvl w:ilvl="4" w:tplc="934C51C2">
      <w:start w:val="1"/>
      <w:numFmt w:val="lowerLetter"/>
      <w:lvlText w:val="%5."/>
      <w:lvlJc w:val="left"/>
      <w:pPr>
        <w:ind w:left="3949" w:hanging="360"/>
      </w:pPr>
    </w:lvl>
    <w:lvl w:ilvl="5" w:tplc="D94A8852">
      <w:start w:val="1"/>
      <w:numFmt w:val="lowerRoman"/>
      <w:lvlText w:val="%6."/>
      <w:lvlJc w:val="right"/>
      <w:pPr>
        <w:ind w:left="4669" w:hanging="180"/>
      </w:pPr>
    </w:lvl>
    <w:lvl w:ilvl="6" w:tplc="542474BE">
      <w:start w:val="1"/>
      <w:numFmt w:val="decimal"/>
      <w:lvlText w:val="%7."/>
      <w:lvlJc w:val="left"/>
      <w:pPr>
        <w:ind w:left="5389" w:hanging="360"/>
      </w:pPr>
    </w:lvl>
    <w:lvl w:ilvl="7" w:tplc="FD148D16">
      <w:start w:val="1"/>
      <w:numFmt w:val="lowerLetter"/>
      <w:lvlText w:val="%8."/>
      <w:lvlJc w:val="left"/>
      <w:pPr>
        <w:ind w:left="6109" w:hanging="360"/>
      </w:pPr>
    </w:lvl>
    <w:lvl w:ilvl="8" w:tplc="3042C73A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B26B2"/>
    <w:multiLevelType w:val="hybridMultilevel"/>
    <w:tmpl w:val="8B98A990"/>
    <w:lvl w:ilvl="0" w:tplc="8166A18E">
      <w:start w:val="5"/>
      <w:numFmt w:val="decimal"/>
      <w:lvlText w:val="%1)"/>
      <w:lvlJc w:val="left"/>
      <w:pPr>
        <w:ind w:left="900" w:hanging="360"/>
      </w:pPr>
    </w:lvl>
    <w:lvl w:ilvl="1" w:tplc="44168832">
      <w:start w:val="1"/>
      <w:numFmt w:val="lowerLetter"/>
      <w:lvlText w:val="%2."/>
      <w:lvlJc w:val="left"/>
      <w:pPr>
        <w:ind w:left="1620" w:hanging="360"/>
      </w:pPr>
    </w:lvl>
    <w:lvl w:ilvl="2" w:tplc="7F38F90C">
      <w:start w:val="1"/>
      <w:numFmt w:val="lowerRoman"/>
      <w:lvlText w:val="%3."/>
      <w:lvlJc w:val="right"/>
      <w:pPr>
        <w:ind w:left="2340" w:hanging="180"/>
      </w:pPr>
    </w:lvl>
    <w:lvl w:ilvl="3" w:tplc="02BAF500">
      <w:start w:val="1"/>
      <w:numFmt w:val="decimal"/>
      <w:lvlText w:val="%4."/>
      <w:lvlJc w:val="left"/>
      <w:pPr>
        <w:ind w:left="3060" w:hanging="360"/>
      </w:pPr>
    </w:lvl>
    <w:lvl w:ilvl="4" w:tplc="CB38DDCA">
      <w:start w:val="1"/>
      <w:numFmt w:val="lowerLetter"/>
      <w:lvlText w:val="%5."/>
      <w:lvlJc w:val="left"/>
      <w:pPr>
        <w:ind w:left="3780" w:hanging="360"/>
      </w:pPr>
    </w:lvl>
    <w:lvl w:ilvl="5" w:tplc="30B27E54">
      <w:start w:val="1"/>
      <w:numFmt w:val="lowerRoman"/>
      <w:lvlText w:val="%6."/>
      <w:lvlJc w:val="right"/>
      <w:pPr>
        <w:ind w:left="4500" w:hanging="180"/>
      </w:pPr>
    </w:lvl>
    <w:lvl w:ilvl="6" w:tplc="F2404254">
      <w:start w:val="1"/>
      <w:numFmt w:val="decimal"/>
      <w:lvlText w:val="%7."/>
      <w:lvlJc w:val="left"/>
      <w:pPr>
        <w:ind w:left="5220" w:hanging="360"/>
      </w:pPr>
    </w:lvl>
    <w:lvl w:ilvl="7" w:tplc="FC866A0E">
      <w:start w:val="1"/>
      <w:numFmt w:val="lowerLetter"/>
      <w:lvlText w:val="%8."/>
      <w:lvlJc w:val="left"/>
      <w:pPr>
        <w:ind w:left="5940" w:hanging="360"/>
      </w:pPr>
    </w:lvl>
    <w:lvl w:ilvl="8" w:tplc="0586215E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CF30EF7"/>
    <w:multiLevelType w:val="hybridMultilevel"/>
    <w:tmpl w:val="A4C4A29E"/>
    <w:lvl w:ilvl="0" w:tplc="F09C49CA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19BEDF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6A0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84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0A83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88B1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90F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9AF4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DC9E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392A54"/>
    <w:multiLevelType w:val="hybridMultilevel"/>
    <w:tmpl w:val="257A0224"/>
    <w:lvl w:ilvl="0" w:tplc="A1D28D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5E740C">
      <w:start w:val="1"/>
      <w:numFmt w:val="lowerLetter"/>
      <w:lvlText w:val="%2."/>
      <w:lvlJc w:val="left"/>
      <w:pPr>
        <w:ind w:left="1789" w:hanging="360"/>
      </w:pPr>
    </w:lvl>
    <w:lvl w:ilvl="2" w:tplc="8E12F5E0">
      <w:start w:val="1"/>
      <w:numFmt w:val="lowerRoman"/>
      <w:lvlText w:val="%3."/>
      <w:lvlJc w:val="right"/>
      <w:pPr>
        <w:ind w:left="2509" w:hanging="180"/>
      </w:pPr>
    </w:lvl>
    <w:lvl w:ilvl="3" w:tplc="21229678">
      <w:start w:val="1"/>
      <w:numFmt w:val="decimal"/>
      <w:lvlText w:val="%4."/>
      <w:lvlJc w:val="left"/>
      <w:pPr>
        <w:ind w:left="3229" w:hanging="360"/>
      </w:pPr>
    </w:lvl>
    <w:lvl w:ilvl="4" w:tplc="1F64C94A">
      <w:start w:val="1"/>
      <w:numFmt w:val="lowerLetter"/>
      <w:lvlText w:val="%5."/>
      <w:lvlJc w:val="left"/>
      <w:pPr>
        <w:ind w:left="3949" w:hanging="360"/>
      </w:pPr>
    </w:lvl>
    <w:lvl w:ilvl="5" w:tplc="8F12343E">
      <w:start w:val="1"/>
      <w:numFmt w:val="lowerRoman"/>
      <w:lvlText w:val="%6."/>
      <w:lvlJc w:val="right"/>
      <w:pPr>
        <w:ind w:left="4669" w:hanging="180"/>
      </w:pPr>
    </w:lvl>
    <w:lvl w:ilvl="6" w:tplc="862CBCEE">
      <w:start w:val="1"/>
      <w:numFmt w:val="decimal"/>
      <w:lvlText w:val="%7."/>
      <w:lvlJc w:val="left"/>
      <w:pPr>
        <w:ind w:left="5389" w:hanging="360"/>
      </w:pPr>
    </w:lvl>
    <w:lvl w:ilvl="7" w:tplc="6E2CF416">
      <w:start w:val="1"/>
      <w:numFmt w:val="lowerLetter"/>
      <w:lvlText w:val="%8."/>
      <w:lvlJc w:val="left"/>
      <w:pPr>
        <w:ind w:left="6109" w:hanging="360"/>
      </w:pPr>
    </w:lvl>
    <w:lvl w:ilvl="8" w:tplc="991C7122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830CEE"/>
    <w:multiLevelType w:val="hybridMultilevel"/>
    <w:tmpl w:val="828A61CC"/>
    <w:lvl w:ilvl="0" w:tplc="486A88F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EF68293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79EA4A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092425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41C57E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BD8F6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D220DC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B39A9B0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3624DF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EE33F48"/>
    <w:multiLevelType w:val="hybridMultilevel"/>
    <w:tmpl w:val="F0104C1C"/>
    <w:lvl w:ilvl="0" w:tplc="208870B4">
      <w:start w:val="1"/>
      <w:numFmt w:val="decimal"/>
      <w:lvlText w:val="%1)"/>
      <w:lvlJc w:val="left"/>
      <w:pPr>
        <w:ind w:left="900" w:hanging="360"/>
      </w:pPr>
    </w:lvl>
    <w:lvl w:ilvl="1" w:tplc="24A05156">
      <w:start w:val="1"/>
      <w:numFmt w:val="lowerLetter"/>
      <w:lvlText w:val="%2."/>
      <w:lvlJc w:val="left"/>
      <w:pPr>
        <w:ind w:left="1620" w:hanging="360"/>
      </w:pPr>
    </w:lvl>
    <w:lvl w:ilvl="2" w:tplc="E51CF068">
      <w:start w:val="1"/>
      <w:numFmt w:val="lowerRoman"/>
      <w:lvlText w:val="%3."/>
      <w:lvlJc w:val="right"/>
      <w:pPr>
        <w:ind w:left="2340" w:hanging="180"/>
      </w:pPr>
    </w:lvl>
    <w:lvl w:ilvl="3" w:tplc="61E04AEC">
      <w:start w:val="1"/>
      <w:numFmt w:val="decimal"/>
      <w:lvlText w:val="%4."/>
      <w:lvlJc w:val="left"/>
      <w:pPr>
        <w:ind w:left="3060" w:hanging="360"/>
      </w:pPr>
    </w:lvl>
    <w:lvl w:ilvl="4" w:tplc="A86E1432">
      <w:start w:val="1"/>
      <w:numFmt w:val="lowerLetter"/>
      <w:lvlText w:val="%5."/>
      <w:lvlJc w:val="left"/>
      <w:pPr>
        <w:ind w:left="3780" w:hanging="360"/>
      </w:pPr>
    </w:lvl>
    <w:lvl w:ilvl="5" w:tplc="2B408BA4">
      <w:start w:val="1"/>
      <w:numFmt w:val="lowerRoman"/>
      <w:lvlText w:val="%6."/>
      <w:lvlJc w:val="right"/>
      <w:pPr>
        <w:ind w:left="4500" w:hanging="180"/>
      </w:pPr>
    </w:lvl>
    <w:lvl w:ilvl="6" w:tplc="B7083232">
      <w:start w:val="1"/>
      <w:numFmt w:val="decimal"/>
      <w:lvlText w:val="%7."/>
      <w:lvlJc w:val="left"/>
      <w:pPr>
        <w:ind w:left="5220" w:hanging="360"/>
      </w:pPr>
    </w:lvl>
    <w:lvl w:ilvl="7" w:tplc="F4E6CBD2">
      <w:start w:val="1"/>
      <w:numFmt w:val="lowerLetter"/>
      <w:lvlText w:val="%8."/>
      <w:lvlJc w:val="left"/>
      <w:pPr>
        <w:ind w:left="5940" w:hanging="360"/>
      </w:pPr>
    </w:lvl>
    <w:lvl w:ilvl="8" w:tplc="E2DA74A8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2056F4E"/>
    <w:multiLevelType w:val="hybridMultilevel"/>
    <w:tmpl w:val="89B2D57E"/>
    <w:lvl w:ilvl="0" w:tplc="DD50D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54ADB2">
      <w:start w:val="1"/>
      <w:numFmt w:val="lowerLetter"/>
      <w:lvlText w:val="%2."/>
      <w:lvlJc w:val="left"/>
      <w:pPr>
        <w:ind w:left="1440" w:hanging="360"/>
      </w:pPr>
    </w:lvl>
    <w:lvl w:ilvl="2" w:tplc="1EC6D980">
      <w:start w:val="1"/>
      <w:numFmt w:val="lowerRoman"/>
      <w:lvlText w:val="%3."/>
      <w:lvlJc w:val="right"/>
      <w:pPr>
        <w:ind w:left="2160" w:hanging="180"/>
      </w:pPr>
    </w:lvl>
    <w:lvl w:ilvl="3" w:tplc="BA92F6B2">
      <w:start w:val="1"/>
      <w:numFmt w:val="decimal"/>
      <w:lvlText w:val="%4."/>
      <w:lvlJc w:val="left"/>
      <w:pPr>
        <w:ind w:left="2880" w:hanging="360"/>
      </w:pPr>
    </w:lvl>
    <w:lvl w:ilvl="4" w:tplc="D194CF6A">
      <w:start w:val="1"/>
      <w:numFmt w:val="lowerLetter"/>
      <w:lvlText w:val="%5."/>
      <w:lvlJc w:val="left"/>
      <w:pPr>
        <w:ind w:left="3600" w:hanging="360"/>
      </w:pPr>
    </w:lvl>
    <w:lvl w:ilvl="5" w:tplc="C5BA023E">
      <w:start w:val="1"/>
      <w:numFmt w:val="lowerRoman"/>
      <w:lvlText w:val="%6."/>
      <w:lvlJc w:val="right"/>
      <w:pPr>
        <w:ind w:left="4320" w:hanging="180"/>
      </w:pPr>
    </w:lvl>
    <w:lvl w:ilvl="6" w:tplc="45C290E8">
      <w:start w:val="1"/>
      <w:numFmt w:val="decimal"/>
      <w:lvlText w:val="%7."/>
      <w:lvlJc w:val="left"/>
      <w:pPr>
        <w:ind w:left="5040" w:hanging="360"/>
      </w:pPr>
    </w:lvl>
    <w:lvl w:ilvl="7" w:tplc="A66C2D32">
      <w:start w:val="1"/>
      <w:numFmt w:val="lowerLetter"/>
      <w:lvlText w:val="%8."/>
      <w:lvlJc w:val="left"/>
      <w:pPr>
        <w:ind w:left="5760" w:hanging="360"/>
      </w:pPr>
    </w:lvl>
    <w:lvl w:ilvl="8" w:tplc="28BC276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5455A5"/>
    <w:multiLevelType w:val="hybridMultilevel"/>
    <w:tmpl w:val="A81E0878"/>
    <w:lvl w:ilvl="0" w:tplc="44361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63A4238">
      <w:start w:val="1"/>
      <w:numFmt w:val="lowerLetter"/>
      <w:lvlText w:val="%2."/>
      <w:lvlJc w:val="left"/>
      <w:pPr>
        <w:ind w:left="1800" w:hanging="360"/>
      </w:pPr>
    </w:lvl>
    <w:lvl w:ilvl="2" w:tplc="E312B924">
      <w:start w:val="1"/>
      <w:numFmt w:val="lowerRoman"/>
      <w:lvlText w:val="%3."/>
      <w:lvlJc w:val="right"/>
      <w:pPr>
        <w:ind w:left="2520" w:hanging="180"/>
      </w:pPr>
    </w:lvl>
    <w:lvl w:ilvl="3" w:tplc="21506C6E">
      <w:start w:val="1"/>
      <w:numFmt w:val="decimal"/>
      <w:lvlText w:val="%4."/>
      <w:lvlJc w:val="left"/>
      <w:pPr>
        <w:ind w:left="3240" w:hanging="360"/>
      </w:pPr>
    </w:lvl>
    <w:lvl w:ilvl="4" w:tplc="5176AC06">
      <w:start w:val="1"/>
      <w:numFmt w:val="lowerLetter"/>
      <w:lvlText w:val="%5."/>
      <w:lvlJc w:val="left"/>
      <w:pPr>
        <w:ind w:left="3960" w:hanging="360"/>
      </w:pPr>
    </w:lvl>
    <w:lvl w:ilvl="5" w:tplc="E4E24588">
      <w:start w:val="1"/>
      <w:numFmt w:val="lowerRoman"/>
      <w:lvlText w:val="%6."/>
      <w:lvlJc w:val="right"/>
      <w:pPr>
        <w:ind w:left="4680" w:hanging="180"/>
      </w:pPr>
    </w:lvl>
    <w:lvl w:ilvl="6" w:tplc="FF226856">
      <w:start w:val="1"/>
      <w:numFmt w:val="decimal"/>
      <w:lvlText w:val="%7."/>
      <w:lvlJc w:val="left"/>
      <w:pPr>
        <w:ind w:left="5400" w:hanging="360"/>
      </w:pPr>
    </w:lvl>
    <w:lvl w:ilvl="7" w:tplc="0F904EE6">
      <w:start w:val="1"/>
      <w:numFmt w:val="lowerLetter"/>
      <w:lvlText w:val="%8."/>
      <w:lvlJc w:val="left"/>
      <w:pPr>
        <w:ind w:left="6120" w:hanging="360"/>
      </w:pPr>
    </w:lvl>
    <w:lvl w:ilvl="8" w:tplc="621A1C04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1020436"/>
    <w:multiLevelType w:val="hybridMultilevel"/>
    <w:tmpl w:val="9626AFD6"/>
    <w:lvl w:ilvl="0" w:tplc="2B4662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6CFF70">
      <w:start w:val="1"/>
      <w:numFmt w:val="lowerLetter"/>
      <w:lvlText w:val="%2."/>
      <w:lvlJc w:val="left"/>
      <w:pPr>
        <w:ind w:left="1440" w:hanging="360"/>
      </w:pPr>
    </w:lvl>
    <w:lvl w:ilvl="2" w:tplc="077C6B52">
      <w:start w:val="1"/>
      <w:numFmt w:val="lowerRoman"/>
      <w:lvlText w:val="%3."/>
      <w:lvlJc w:val="right"/>
      <w:pPr>
        <w:ind w:left="2160" w:hanging="180"/>
      </w:pPr>
    </w:lvl>
    <w:lvl w:ilvl="3" w:tplc="83CC9F4A">
      <w:start w:val="1"/>
      <w:numFmt w:val="decimal"/>
      <w:lvlText w:val="%4."/>
      <w:lvlJc w:val="left"/>
      <w:pPr>
        <w:ind w:left="2880" w:hanging="360"/>
      </w:pPr>
    </w:lvl>
    <w:lvl w:ilvl="4" w:tplc="45427BB0">
      <w:start w:val="1"/>
      <w:numFmt w:val="lowerLetter"/>
      <w:lvlText w:val="%5."/>
      <w:lvlJc w:val="left"/>
      <w:pPr>
        <w:ind w:left="3600" w:hanging="360"/>
      </w:pPr>
    </w:lvl>
    <w:lvl w:ilvl="5" w:tplc="9A60CDFA">
      <w:start w:val="1"/>
      <w:numFmt w:val="lowerRoman"/>
      <w:lvlText w:val="%6."/>
      <w:lvlJc w:val="right"/>
      <w:pPr>
        <w:ind w:left="4320" w:hanging="180"/>
      </w:pPr>
    </w:lvl>
    <w:lvl w:ilvl="6" w:tplc="A7169276">
      <w:start w:val="1"/>
      <w:numFmt w:val="decimal"/>
      <w:lvlText w:val="%7."/>
      <w:lvlJc w:val="left"/>
      <w:pPr>
        <w:ind w:left="5040" w:hanging="360"/>
      </w:pPr>
    </w:lvl>
    <w:lvl w:ilvl="7" w:tplc="2E68C6A8">
      <w:start w:val="1"/>
      <w:numFmt w:val="lowerLetter"/>
      <w:lvlText w:val="%8."/>
      <w:lvlJc w:val="left"/>
      <w:pPr>
        <w:ind w:left="5760" w:hanging="360"/>
      </w:pPr>
    </w:lvl>
    <w:lvl w:ilvl="8" w:tplc="A630033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9B4979"/>
    <w:multiLevelType w:val="hybridMultilevel"/>
    <w:tmpl w:val="BA00239E"/>
    <w:lvl w:ilvl="0" w:tplc="B1A0DFA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C548E9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DE52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EA3E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C04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C2FC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2A16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BC31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A601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051ABA"/>
    <w:multiLevelType w:val="hybridMultilevel"/>
    <w:tmpl w:val="FC82BD3A"/>
    <w:lvl w:ilvl="0" w:tplc="ED98627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CE60B4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465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167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28AF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D685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86C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B2F0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588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945AB7"/>
    <w:multiLevelType w:val="hybridMultilevel"/>
    <w:tmpl w:val="BC28C3C4"/>
    <w:lvl w:ilvl="0" w:tplc="C7A0D7B8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60725BB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34011E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BCC3A5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5B6A1E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807206C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352A23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EDA06C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870A35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2A8679E"/>
    <w:multiLevelType w:val="hybridMultilevel"/>
    <w:tmpl w:val="B1E423B0"/>
    <w:lvl w:ilvl="0" w:tplc="7DBC0240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ADB6C18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12A71C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BD6C79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9A0C05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20AD9E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3E69F5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AA20B8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B7C25A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3461B30"/>
    <w:multiLevelType w:val="hybridMultilevel"/>
    <w:tmpl w:val="533A6590"/>
    <w:lvl w:ilvl="0" w:tplc="C4208B88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6A7219B2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358EF1E4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52BC565A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2CC66BA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96ECB0C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EE8570A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6C1ABEC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E858FD0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7B7332A1"/>
    <w:multiLevelType w:val="hybridMultilevel"/>
    <w:tmpl w:val="ECDAECF2"/>
    <w:lvl w:ilvl="0" w:tplc="C36C8BB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92BEF906">
      <w:start w:val="1"/>
      <w:numFmt w:val="lowerLetter"/>
      <w:lvlText w:val="%2."/>
      <w:lvlJc w:val="left"/>
      <w:pPr>
        <w:ind w:left="1440" w:hanging="360"/>
      </w:pPr>
    </w:lvl>
    <w:lvl w:ilvl="2" w:tplc="EDD83CA2">
      <w:start w:val="1"/>
      <w:numFmt w:val="lowerRoman"/>
      <w:lvlText w:val="%3."/>
      <w:lvlJc w:val="right"/>
      <w:pPr>
        <w:ind w:left="2160" w:hanging="180"/>
      </w:pPr>
    </w:lvl>
    <w:lvl w:ilvl="3" w:tplc="7CE4BB10">
      <w:start w:val="1"/>
      <w:numFmt w:val="decimal"/>
      <w:lvlText w:val="%4."/>
      <w:lvlJc w:val="left"/>
      <w:pPr>
        <w:ind w:left="2880" w:hanging="360"/>
      </w:pPr>
    </w:lvl>
    <w:lvl w:ilvl="4" w:tplc="D2E4195C">
      <w:start w:val="1"/>
      <w:numFmt w:val="lowerLetter"/>
      <w:lvlText w:val="%5."/>
      <w:lvlJc w:val="left"/>
      <w:pPr>
        <w:ind w:left="3600" w:hanging="360"/>
      </w:pPr>
    </w:lvl>
    <w:lvl w:ilvl="5" w:tplc="50A681CE">
      <w:start w:val="1"/>
      <w:numFmt w:val="lowerRoman"/>
      <w:lvlText w:val="%6."/>
      <w:lvlJc w:val="right"/>
      <w:pPr>
        <w:ind w:left="4320" w:hanging="180"/>
      </w:pPr>
    </w:lvl>
    <w:lvl w:ilvl="6" w:tplc="556C72E2">
      <w:start w:val="1"/>
      <w:numFmt w:val="decimal"/>
      <w:lvlText w:val="%7."/>
      <w:lvlJc w:val="left"/>
      <w:pPr>
        <w:ind w:left="5040" w:hanging="360"/>
      </w:pPr>
    </w:lvl>
    <w:lvl w:ilvl="7" w:tplc="A7587F50">
      <w:start w:val="1"/>
      <w:numFmt w:val="lowerLetter"/>
      <w:lvlText w:val="%8."/>
      <w:lvlJc w:val="left"/>
      <w:pPr>
        <w:ind w:left="5760" w:hanging="360"/>
      </w:pPr>
    </w:lvl>
    <w:lvl w:ilvl="8" w:tplc="7FB4B4F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213E8D"/>
    <w:multiLevelType w:val="multilevel"/>
    <w:tmpl w:val="98F811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FA5430E"/>
    <w:multiLevelType w:val="hybridMultilevel"/>
    <w:tmpl w:val="8250D34C"/>
    <w:lvl w:ilvl="0" w:tplc="B5C622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50BB08">
      <w:start w:val="1"/>
      <w:numFmt w:val="lowerLetter"/>
      <w:lvlText w:val="%2."/>
      <w:lvlJc w:val="left"/>
      <w:pPr>
        <w:ind w:left="1440" w:hanging="360"/>
      </w:pPr>
    </w:lvl>
    <w:lvl w:ilvl="2" w:tplc="952E92AA">
      <w:start w:val="1"/>
      <w:numFmt w:val="lowerRoman"/>
      <w:lvlText w:val="%3."/>
      <w:lvlJc w:val="right"/>
      <w:pPr>
        <w:ind w:left="2160" w:hanging="180"/>
      </w:pPr>
    </w:lvl>
    <w:lvl w:ilvl="3" w:tplc="22A2E96E">
      <w:start w:val="1"/>
      <w:numFmt w:val="decimal"/>
      <w:lvlText w:val="%4."/>
      <w:lvlJc w:val="left"/>
      <w:pPr>
        <w:ind w:left="2880" w:hanging="360"/>
      </w:pPr>
    </w:lvl>
    <w:lvl w:ilvl="4" w:tplc="E6D28B06">
      <w:start w:val="1"/>
      <w:numFmt w:val="lowerLetter"/>
      <w:lvlText w:val="%5."/>
      <w:lvlJc w:val="left"/>
      <w:pPr>
        <w:ind w:left="3600" w:hanging="360"/>
      </w:pPr>
    </w:lvl>
    <w:lvl w:ilvl="5" w:tplc="C5CE2D3C">
      <w:start w:val="1"/>
      <w:numFmt w:val="lowerRoman"/>
      <w:lvlText w:val="%6."/>
      <w:lvlJc w:val="right"/>
      <w:pPr>
        <w:ind w:left="4320" w:hanging="180"/>
      </w:pPr>
    </w:lvl>
    <w:lvl w:ilvl="6" w:tplc="C4A6930A">
      <w:start w:val="1"/>
      <w:numFmt w:val="decimal"/>
      <w:lvlText w:val="%7."/>
      <w:lvlJc w:val="left"/>
      <w:pPr>
        <w:ind w:left="5040" w:hanging="360"/>
      </w:pPr>
    </w:lvl>
    <w:lvl w:ilvl="7" w:tplc="584A83DC">
      <w:start w:val="1"/>
      <w:numFmt w:val="lowerLetter"/>
      <w:lvlText w:val="%8."/>
      <w:lvlJc w:val="left"/>
      <w:pPr>
        <w:ind w:left="5760" w:hanging="360"/>
      </w:pPr>
    </w:lvl>
    <w:lvl w:ilvl="8" w:tplc="20049F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21"/>
  </w:num>
  <w:num w:numId="4">
    <w:abstractNumId w:val="19"/>
  </w:num>
  <w:num w:numId="5">
    <w:abstractNumId w:val="22"/>
  </w:num>
  <w:num w:numId="6">
    <w:abstractNumId w:val="24"/>
  </w:num>
  <w:num w:numId="7">
    <w:abstractNumId w:val="15"/>
  </w:num>
  <w:num w:numId="8">
    <w:abstractNumId w:val="16"/>
  </w:num>
  <w:num w:numId="9">
    <w:abstractNumId w:val="1"/>
  </w:num>
  <w:num w:numId="10">
    <w:abstractNumId w:val="3"/>
  </w:num>
  <w:num w:numId="11">
    <w:abstractNumId w:val="4"/>
  </w:num>
  <w:num w:numId="12">
    <w:abstractNumId w:val="7"/>
  </w:num>
  <w:num w:numId="13">
    <w:abstractNumId w:val="14"/>
  </w:num>
  <w:num w:numId="14">
    <w:abstractNumId w:val="2"/>
  </w:num>
  <w:num w:numId="15">
    <w:abstractNumId w:val="17"/>
  </w:num>
  <w:num w:numId="16">
    <w:abstractNumId w:val="10"/>
  </w:num>
  <w:num w:numId="17">
    <w:abstractNumId w:val="20"/>
  </w:num>
  <w:num w:numId="18">
    <w:abstractNumId w:val="5"/>
  </w:num>
  <w:num w:numId="19">
    <w:abstractNumId w:val="12"/>
  </w:num>
  <w:num w:numId="20">
    <w:abstractNumId w:val="11"/>
  </w:num>
  <w:num w:numId="21">
    <w:abstractNumId w:val="0"/>
  </w:num>
  <w:num w:numId="22">
    <w:abstractNumId w:val="2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852"/>
    <w:rsid w:val="003D19AD"/>
    <w:rsid w:val="00E3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aptionChar">
    <w:name w:val="Caption Char"/>
    <w:basedOn w:val="a1"/>
    <w:uiPriority w:val="35"/>
    <w:rPr>
      <w:b/>
      <w:bCs/>
      <w:color w:val="5B9BD5" w:themeColor="accent1"/>
      <w:sz w:val="18"/>
      <w:szCs w:val="18"/>
    </w:r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aptionChar">
    <w:name w:val="Caption Char"/>
    <w:basedOn w:val="a1"/>
    <w:uiPriority w:val="35"/>
    <w:rPr>
      <w:b/>
      <w:bCs/>
      <w:color w:val="5B9BD5" w:themeColor="accent1"/>
      <w:sz w:val="18"/>
      <w:szCs w:val="18"/>
    </w:r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5FFE9-24F8-4F3C-971D-BADCF0148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dcterms:created xsi:type="dcterms:W3CDTF">2026-05-20T09:43:00Z</dcterms:created>
  <dcterms:modified xsi:type="dcterms:W3CDTF">2026-05-20T09:43:00Z</dcterms:modified>
</cp:coreProperties>
</file>