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470" w:rsidRDefault="00AF1470" w:rsidP="00AF1470">
      <w:pPr>
        <w:pStyle w:val="24"/>
        <w:spacing w:before="0"/>
        <w:ind w:right="0"/>
        <w:jc w:val="left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29.05.2026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>№ 20</w:t>
      </w:r>
      <w:r>
        <w:rPr>
          <w:rFonts w:ascii="PT Astra Serif" w:hAnsi="PT Astra Serif" w:cs="PT Astra Serif"/>
          <w:szCs w:val="26"/>
        </w:rPr>
        <w:t>6</w:t>
      </w:r>
      <w:bookmarkStart w:id="0" w:name="_GoBack"/>
      <w:bookmarkEnd w:id="0"/>
      <w:r>
        <w:rPr>
          <w:rFonts w:ascii="PT Astra Serif" w:hAnsi="PT Astra Serif" w:cs="PT Astra Serif"/>
          <w:szCs w:val="26"/>
        </w:rPr>
        <w:t>а</w:t>
      </w:r>
    </w:p>
    <w:p w:rsidR="00AF1470" w:rsidRDefault="00AF1470" w:rsidP="00AF1470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AF1470" w:rsidRDefault="00AF1470" w:rsidP="00AF1470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035EC2" w:rsidRDefault="00AF1470">
      <w:pPr>
        <w:widowControl w:val="0"/>
        <w:ind w:firstLine="0"/>
        <w:jc w:val="center"/>
        <w:rPr>
          <w:rFonts w:ascii="PT Astra Serif" w:hAnsi="PT Astra Serif" w:cs="Arial"/>
          <w:bCs/>
          <w:szCs w:val="26"/>
        </w:rPr>
      </w:pPr>
      <w:r>
        <w:rPr>
          <w:rFonts w:ascii="PT Astra Serif" w:hAnsi="PT Astra Serif" w:cs="Arial"/>
          <w:bCs/>
          <w:szCs w:val="26"/>
        </w:rPr>
        <w:t xml:space="preserve">О внесении изменений в постановление Администрации </w:t>
      </w:r>
    </w:p>
    <w:p w:rsidR="00035EC2" w:rsidRDefault="00AF1470">
      <w:pPr>
        <w:widowControl w:val="0"/>
        <w:ind w:firstLine="0"/>
        <w:jc w:val="center"/>
        <w:rPr>
          <w:rFonts w:ascii="PT Astra Serif" w:hAnsi="PT Astra Serif" w:cs="Arial"/>
          <w:b/>
          <w:bCs/>
          <w:szCs w:val="26"/>
        </w:rPr>
      </w:pPr>
      <w:r>
        <w:rPr>
          <w:rFonts w:ascii="PT Astra Serif" w:hAnsi="PT Astra Serif" w:cs="Arial"/>
          <w:bCs/>
          <w:szCs w:val="26"/>
        </w:rPr>
        <w:t xml:space="preserve">Томской области от 19.05.2025 № 217а </w:t>
      </w:r>
    </w:p>
    <w:p w:rsidR="00035EC2" w:rsidRDefault="00035EC2">
      <w:pPr>
        <w:ind w:right="4677"/>
        <w:jc w:val="both"/>
        <w:rPr>
          <w:rFonts w:ascii="PT Astra Serif" w:hAnsi="PT Astra Serif"/>
          <w:szCs w:val="26"/>
        </w:rPr>
      </w:pPr>
    </w:p>
    <w:p w:rsidR="00035EC2" w:rsidRDefault="00035EC2">
      <w:pPr>
        <w:ind w:right="4677"/>
        <w:jc w:val="both"/>
        <w:rPr>
          <w:rFonts w:ascii="PT Astra Serif" w:hAnsi="PT Astra Serif"/>
          <w:szCs w:val="26"/>
        </w:rPr>
      </w:pPr>
    </w:p>
    <w:p w:rsidR="00035EC2" w:rsidRDefault="00AF1470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5 статьи 20 Закона Томской области от 7 марта 2002 года № 9-ОЗ «О нормативных правовых актах Томской области» </w:t>
      </w:r>
    </w:p>
    <w:p w:rsidR="00035EC2" w:rsidRDefault="00AF1470">
      <w:pPr>
        <w:tabs>
          <w:tab w:val="left" w:pos="851"/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035EC2" w:rsidRDefault="00AF1470">
      <w:pPr>
        <w:tabs>
          <w:tab w:val="left" w:pos="851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 xml:space="preserve">1. Внести в </w:t>
      </w:r>
      <w:r>
        <w:rPr>
          <w:rFonts w:ascii="PT Astra Serif" w:hAnsi="PT Astra Serif"/>
          <w:szCs w:val="26"/>
        </w:rPr>
        <w:t>постановление Администрации Томской области от 19.05.2025 № 217а «Об утверждении Порядка определения объема и предоставления из областного бюджета субсидии на финансовое обеспечение деятельности (докапитализация) регионального фонда развития промышленности</w:t>
      </w:r>
      <w:r>
        <w:rPr>
          <w:rFonts w:ascii="PT Astra Serif" w:hAnsi="PT Astra Serif"/>
          <w:szCs w:val="26"/>
        </w:rPr>
        <w:t xml:space="preserve"> (Некоммерческая организация «Фонд развития промышленности Томской области») на реализацию региональной промышленной политики» </w:t>
      </w:r>
      <w:r>
        <w:rPr>
          <w:rFonts w:ascii="PT Astra Serif" w:hAnsi="PT Astra Serif" w:cs="PT Astra Serif"/>
          <w:szCs w:val="26"/>
        </w:rPr>
        <w:t>(</w:t>
      </w:r>
      <w:r>
        <w:rPr>
          <w:rFonts w:ascii="PT Astra Serif" w:hAnsi="PT Astra Serif"/>
          <w:szCs w:val="26"/>
        </w:rPr>
        <w:t>Собрание   законодательства Томской</w:t>
      </w:r>
      <w:r>
        <w:rPr>
          <w:rFonts w:ascii="PT Astra Serif" w:hAnsi="PT Astra Serif"/>
          <w:szCs w:val="26"/>
        </w:rPr>
        <w:t xml:space="preserve"> области, 2025, № 6/1, 2 (364), том 2) с</w:t>
      </w:r>
      <w:r>
        <w:rPr>
          <w:rFonts w:ascii="PT Astra Serif" w:hAnsi="PT Astra Serif"/>
          <w:szCs w:val="26"/>
        </w:rPr>
        <w:t xml:space="preserve">ледующие изменения: </w:t>
      </w:r>
    </w:p>
    <w:p w:rsidR="00035EC2" w:rsidRDefault="00AF1470">
      <w:pPr>
        <w:tabs>
          <w:tab w:val="left" w:pos="851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 xml:space="preserve">в Порядке </w:t>
      </w:r>
      <w:r>
        <w:rPr>
          <w:rFonts w:ascii="PT Astra Serif" w:hAnsi="PT Astra Serif"/>
          <w:szCs w:val="26"/>
        </w:rPr>
        <w:t>определения объема и п</w:t>
      </w:r>
      <w:r>
        <w:rPr>
          <w:rFonts w:ascii="PT Astra Serif" w:hAnsi="PT Astra Serif"/>
          <w:szCs w:val="26"/>
        </w:rPr>
        <w:t>редоставления из областного бюджета субсидии на финансовое обеспечение деятельности (докапитализация) регионального фонда развития промышленности (Некоммерческая организация «Фонд развития промышленности Томской области») на реализацию региональной промышл</w:t>
      </w:r>
      <w:r>
        <w:rPr>
          <w:rFonts w:ascii="PT Astra Serif" w:hAnsi="PT Astra Serif"/>
          <w:szCs w:val="26"/>
        </w:rPr>
        <w:t>енной политики»</w:t>
      </w:r>
      <w:r>
        <w:rPr>
          <w:rFonts w:ascii="PT Astra Serif" w:hAnsi="PT Astra Serif"/>
          <w:szCs w:val="26"/>
        </w:rPr>
        <w:t>, утвержденном ук</w:t>
      </w:r>
      <w:r>
        <w:rPr>
          <w:rFonts w:ascii="PT Astra Serif" w:hAnsi="PT Astra Serif"/>
          <w:szCs w:val="26"/>
        </w:rPr>
        <w:t>азанным постановлением:</w:t>
      </w:r>
    </w:p>
    <w:p w:rsidR="00035EC2" w:rsidRDefault="00AF1470">
      <w:pPr>
        <w:tabs>
          <w:tab w:val="left" w:pos="851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1) в пункте 2 после слов «направленных на предоставление» дополнить словами «информационно-консультационной и»;</w:t>
      </w:r>
    </w:p>
    <w:p w:rsidR="00035EC2" w:rsidRDefault="00AF1470">
      <w:pPr>
        <w:tabs>
          <w:tab w:val="left" w:pos="851"/>
        </w:tabs>
        <w:ind w:left="709" w:firstLine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2) пункт 6 изложить в следующей редакции: </w:t>
      </w:r>
    </w:p>
    <w:p w:rsidR="00035EC2" w:rsidRDefault="00AF1470">
      <w:pPr>
        <w:tabs>
          <w:tab w:val="left" w:pos="851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«6. Информация о субсидии размещается на един</w:t>
      </w:r>
      <w:r>
        <w:rPr>
          <w:rFonts w:ascii="PT Astra Serif" w:hAnsi="PT Astra Serif" w:cs="PT Astra Serif"/>
          <w:szCs w:val="26"/>
        </w:rPr>
        <w:t>ом портале бюджетной системы Российской Федерации в информационно-телекоммуникационной сети «Интернет» (дале</w:t>
      </w:r>
      <w:r>
        <w:rPr>
          <w:rFonts w:ascii="PT Astra Serif" w:hAnsi="PT Astra Serif" w:cs="PT Astra Serif"/>
          <w:szCs w:val="26"/>
        </w:rPr>
        <w:t xml:space="preserve">е соответственно – </w:t>
      </w:r>
      <w:r>
        <w:rPr>
          <w:rFonts w:ascii="PT Astra Serif" w:hAnsi="PT Astra Serif" w:cs="PT Astra Serif"/>
          <w:szCs w:val="26"/>
        </w:rPr>
        <w:t>сеть «Интернет», Единый портал) (в разделе Единого портала) в порядке, установленном Министерством финансов Российской Федерации,</w:t>
      </w:r>
      <w:r>
        <w:rPr>
          <w:rFonts w:ascii="PT Astra Serif" w:hAnsi="PT Astra Serif" w:cs="PT Astra Serif"/>
          <w:szCs w:val="26"/>
        </w:rPr>
        <w:t xml:space="preserve"> в течение 10 рабочих дней со дня, следующего за днем доведения бюджетных ассигнований на предоставление субсидий до главного распорядителя бюджетных средств.»;</w:t>
      </w:r>
    </w:p>
    <w:p w:rsidR="00035EC2" w:rsidRDefault="00AF1470">
      <w:pPr>
        <w:tabs>
          <w:tab w:val="left" w:pos="851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hAnsi="PT Astra Serif" w:cs="PT Astra Serif"/>
          <w:szCs w:val="26"/>
        </w:rPr>
        <w:t>3) в подпункте а) подпункта 4)</w:t>
      </w:r>
      <w:r>
        <w:rPr>
          <w:rFonts w:ascii="PT Astra Serif" w:eastAsia="Calibri" w:hAnsi="PT Astra Serif"/>
          <w:szCs w:val="26"/>
          <w:lang w:eastAsia="en-US"/>
        </w:rPr>
        <w:t xml:space="preserve"> пункта 15 </w:t>
      </w:r>
      <w:r>
        <w:rPr>
          <w:rFonts w:ascii="PT Astra Serif" w:hAnsi="PT Astra Serif" w:cs="PT Astra Serif"/>
          <w:szCs w:val="26"/>
        </w:rPr>
        <w:t>слова «процентов по ним и иных доходов в форме штрафов</w:t>
      </w:r>
      <w:r>
        <w:rPr>
          <w:rFonts w:ascii="PT Astra Serif" w:hAnsi="PT Astra Serif" w:cs="PT Astra Serif"/>
          <w:szCs w:val="26"/>
        </w:rPr>
        <w:t xml:space="preserve"> и пени,» исключить; </w:t>
      </w:r>
    </w:p>
    <w:p w:rsidR="00035EC2" w:rsidRDefault="00AF1470">
      <w:pPr>
        <w:tabs>
          <w:tab w:val="left" w:pos="851"/>
        </w:tabs>
        <w:ind w:left="709" w:firstLine="0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4) пункт 18 дополнить абзацем следующего содержания:</w:t>
      </w:r>
    </w:p>
    <w:p w:rsidR="00035EC2" w:rsidRDefault="00AF1470">
      <w:pPr>
        <w:tabs>
          <w:tab w:val="left" w:pos="851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«Средства, полученные</w:t>
      </w:r>
      <w:r>
        <w:rPr>
          <w:rFonts w:ascii="PT Astra Serif" w:eastAsia="Calibri" w:hAnsi="PT Astra Serif"/>
          <w:szCs w:val="26"/>
          <w:lang w:eastAsia="en-US"/>
        </w:rPr>
        <w:t xml:space="preserve"> с 2025 года в форме процентов, а также иных доходов в форме штрафов и пеней, при возврате выданных займов, источником финансового обеспечения которых являлась су</w:t>
      </w:r>
      <w:r>
        <w:rPr>
          <w:rFonts w:ascii="PT Astra Serif" w:eastAsia="Calibri" w:hAnsi="PT Astra Serif"/>
          <w:szCs w:val="26"/>
          <w:lang w:eastAsia="en-US"/>
        </w:rPr>
        <w:t>бсидия на оказани</w:t>
      </w:r>
      <w:r>
        <w:rPr>
          <w:rFonts w:ascii="PT Astra Serif" w:eastAsia="Calibri" w:hAnsi="PT Astra Serif"/>
          <w:szCs w:val="26"/>
          <w:lang w:eastAsia="en-US"/>
        </w:rPr>
        <w:t>е мер поддержки субъектам деятельности в сфере промышленности, расходуются на</w:t>
      </w:r>
      <w:r>
        <w:rPr>
          <w:rFonts w:ascii="PT Astra Serif" w:eastAsia="Calibri" w:hAnsi="PT Astra Serif"/>
          <w:szCs w:val="26"/>
          <w:lang w:eastAsia="en-US"/>
        </w:rPr>
        <w:t xml:space="preserve"> предоставление информационно-консультационной поддержки субъектов деятельности в сфере промышленности, осуществляемой в виде организации проведения конгрессных </w:t>
      </w:r>
      <w:r>
        <w:rPr>
          <w:rFonts w:ascii="PT Astra Serif" w:eastAsia="Calibri" w:hAnsi="PT Astra Serif"/>
          <w:szCs w:val="26"/>
          <w:lang w:eastAsia="en-US"/>
        </w:rPr>
        <w:lastRenderedPageBreak/>
        <w:t>и (или) выставочных мероприятий, ярмарок (в том числе международных) или содейств</w:t>
      </w:r>
      <w:r>
        <w:rPr>
          <w:rFonts w:ascii="PT Astra Serif" w:eastAsia="Calibri" w:hAnsi="PT Astra Serif"/>
          <w:szCs w:val="26"/>
          <w:lang w:eastAsia="en-US"/>
        </w:rPr>
        <w:t>ия в проведени</w:t>
      </w:r>
      <w:r>
        <w:rPr>
          <w:rFonts w:ascii="PT Astra Serif" w:eastAsia="Calibri" w:hAnsi="PT Astra Serif"/>
          <w:szCs w:val="26"/>
          <w:lang w:eastAsia="en-US"/>
        </w:rPr>
        <w:t xml:space="preserve">и указанных мероприятий.»; </w:t>
      </w:r>
    </w:p>
    <w:p w:rsidR="00035EC2" w:rsidRDefault="00AF1470">
      <w:pPr>
        <w:tabs>
          <w:tab w:val="left" w:pos="851"/>
        </w:tabs>
        <w:ind w:left="709" w:firstLine="0"/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 xml:space="preserve">5) дополнить пунктом 19.1 </w:t>
      </w:r>
      <w:r>
        <w:rPr>
          <w:rFonts w:ascii="PT Astra Serif" w:hAnsi="PT Astra Serif" w:cs="PT Astra Serif"/>
          <w:szCs w:val="26"/>
        </w:rPr>
        <w:t>следующего содержания:</w:t>
      </w:r>
    </w:p>
    <w:p w:rsidR="00035EC2" w:rsidRDefault="00AF1470">
      <w:pPr>
        <w:tabs>
          <w:tab w:val="left" w:pos="851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«19.1. Средства, полученные при возврате займов, учитываются на лицевом счете Ф</w:t>
      </w:r>
      <w:r>
        <w:rPr>
          <w:rFonts w:ascii="PT Astra Serif" w:eastAsia="Calibri" w:hAnsi="PT Astra Serif"/>
          <w:szCs w:val="26"/>
          <w:lang w:eastAsia="en-US"/>
        </w:rPr>
        <w:t xml:space="preserve">онда, открытом в </w:t>
      </w:r>
      <w:r>
        <w:rPr>
          <w:rFonts w:ascii="PT Astra Serif" w:eastAsia="Calibri" w:hAnsi="PT Astra Serif"/>
          <w:szCs w:val="26"/>
          <w:lang w:eastAsia="en-US"/>
        </w:rPr>
        <w:t>Департаменте финансов Томской области. Средства, полученные в форме процентов, а та</w:t>
      </w:r>
      <w:r>
        <w:rPr>
          <w:rFonts w:ascii="PT Astra Serif" w:eastAsia="Calibri" w:hAnsi="PT Astra Serif"/>
          <w:szCs w:val="26"/>
          <w:lang w:eastAsia="en-US"/>
        </w:rPr>
        <w:t xml:space="preserve">кже иных доходов в форме штрафов и пеней, при возврате выданных займов, </w:t>
      </w:r>
      <w:r>
        <w:rPr>
          <w:rFonts w:ascii="PT Astra Serif" w:hAnsi="PT Astra Serif" w:cs="PT Astra Serif"/>
          <w:szCs w:val="26"/>
        </w:rPr>
        <w:t>учитываются на сч</w:t>
      </w:r>
      <w:r>
        <w:rPr>
          <w:rFonts w:ascii="PT Astra Serif" w:hAnsi="PT Astra Serif" w:cs="PT Astra Serif"/>
          <w:szCs w:val="26"/>
        </w:rPr>
        <w:t>етах, открытых</w:t>
      </w:r>
      <w:r>
        <w:rPr>
          <w:rFonts w:ascii="PT Astra Serif" w:hAnsi="PT Astra Serif" w:cs="PT Astra Serif"/>
          <w:szCs w:val="26"/>
        </w:rPr>
        <w:t xml:space="preserve"> Фондом в кредитных организациях.»;</w:t>
      </w:r>
    </w:p>
    <w:p w:rsidR="00035EC2" w:rsidRDefault="00AF1470">
      <w:pPr>
        <w:tabs>
          <w:tab w:val="left" w:pos="851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6) в абзаце первом пункта 24 слова «Субсидия подлежит возврату» заменить словами «Средства субсидии подлежат возврату</w:t>
      </w:r>
      <w:r>
        <w:rPr>
          <w:rFonts w:ascii="PT Astra Serif" w:eastAsia="Calibri" w:hAnsi="PT Astra Serif"/>
          <w:szCs w:val="26"/>
          <w:lang w:eastAsia="en-US"/>
        </w:rPr>
        <w:t>»;</w:t>
      </w:r>
    </w:p>
    <w:p w:rsidR="00035EC2" w:rsidRDefault="00AF1470">
      <w:pPr>
        <w:tabs>
          <w:tab w:val="left" w:pos="851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7) в абзаце первом пункта 25 слова «Возврат субсидии» заменить словами «Возврат средств субсидий»;</w:t>
      </w:r>
    </w:p>
    <w:p w:rsidR="00035EC2" w:rsidRDefault="00AF1470">
      <w:pPr>
        <w:tabs>
          <w:tab w:val="left" w:pos="851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 xml:space="preserve">8) пункт 26 изложить в следующей редакции: </w:t>
      </w:r>
    </w:p>
    <w:p w:rsidR="00035EC2" w:rsidRDefault="00AF1470">
      <w:pPr>
        <w:tabs>
          <w:tab w:val="left" w:pos="851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«26. Возврат средств субсидии и средств, полученных на основании договоров (соглашен</w:t>
      </w:r>
      <w:r>
        <w:rPr>
          <w:rFonts w:ascii="PT Astra Serif" w:eastAsia="Calibri" w:hAnsi="PT Astra Serif"/>
          <w:szCs w:val="26"/>
          <w:lang w:eastAsia="en-US"/>
        </w:rPr>
        <w:t xml:space="preserve">ий), </w:t>
      </w:r>
      <w:r>
        <w:rPr>
          <w:rFonts w:ascii="PT Astra Serif" w:eastAsia="Calibri" w:hAnsi="PT Astra Serif"/>
          <w:szCs w:val="26"/>
          <w:lang w:eastAsia="en-US"/>
        </w:rPr>
        <w:t xml:space="preserve">заключенных с Фондом, осуществляется на основании направленного главным распорядителем бюджетных средств Фонду письменного требования о возврате средств субсидии (далее – требование). </w:t>
      </w:r>
    </w:p>
    <w:p w:rsidR="00035EC2" w:rsidRDefault="00AF1470">
      <w:pPr>
        <w:tabs>
          <w:tab w:val="left" w:pos="851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В течение 10 рабочих дней со дня получения требования Фонд осуществляет</w:t>
      </w:r>
      <w:r>
        <w:rPr>
          <w:rFonts w:ascii="PT Astra Serif" w:eastAsia="Calibri" w:hAnsi="PT Astra Serif"/>
          <w:szCs w:val="26"/>
          <w:lang w:eastAsia="en-US"/>
        </w:rPr>
        <w:t xml:space="preserve"> возв</w:t>
      </w:r>
      <w:r>
        <w:rPr>
          <w:rFonts w:ascii="PT Astra Serif" w:eastAsia="Calibri" w:hAnsi="PT Astra Serif"/>
          <w:szCs w:val="26"/>
          <w:lang w:eastAsia="en-US"/>
        </w:rPr>
        <w:t>рат указанных в требовании средств субсидии в облас</w:t>
      </w:r>
      <w:r>
        <w:rPr>
          <w:rFonts w:ascii="PT Astra Serif" w:eastAsia="Calibri" w:hAnsi="PT Astra Serif"/>
          <w:szCs w:val="26"/>
          <w:lang w:eastAsia="en-US"/>
        </w:rPr>
        <w:t xml:space="preserve">тной бюджет по платежным реквизитам, указанным в требовании, или направляет в адрес главного распорядителя бюджетных средств ответ с мотивированным отказом </w:t>
      </w:r>
      <w:r>
        <w:rPr>
          <w:rFonts w:ascii="PT Astra Serif" w:eastAsia="Calibri" w:hAnsi="PT Astra Serif"/>
          <w:szCs w:val="26"/>
          <w:lang w:eastAsia="en-US"/>
        </w:rPr>
        <w:t xml:space="preserve">от возврата средств субсидии. </w:t>
      </w:r>
    </w:p>
    <w:p w:rsidR="00035EC2" w:rsidRDefault="00AF1470">
      <w:pPr>
        <w:tabs>
          <w:tab w:val="left" w:pos="851"/>
        </w:tabs>
        <w:jc w:val="both"/>
        <w:rPr>
          <w:rFonts w:ascii="PT Astra Serif" w:eastAsia="Calibri" w:hAnsi="PT Astra Serif"/>
          <w:szCs w:val="26"/>
          <w:lang w:eastAsia="en-US"/>
        </w:rPr>
      </w:pPr>
      <w:r>
        <w:rPr>
          <w:rFonts w:ascii="PT Astra Serif" w:eastAsia="Calibri" w:hAnsi="PT Astra Serif"/>
          <w:szCs w:val="26"/>
          <w:lang w:eastAsia="en-US"/>
        </w:rPr>
        <w:t>В случае отка</w:t>
      </w:r>
      <w:r>
        <w:rPr>
          <w:rFonts w:ascii="PT Astra Serif" w:eastAsia="Calibri" w:hAnsi="PT Astra Serif"/>
          <w:szCs w:val="26"/>
          <w:lang w:eastAsia="en-US"/>
        </w:rPr>
        <w:t>за Фонда от добровольного возврата средств субсидии в установленный для осуществления возврата срок средства субсидии подлежат взысканию главным распорядителем бюджетных средств в судебном порядке в соответствии с законодательством Российской Федерации в т</w:t>
      </w:r>
      <w:r>
        <w:rPr>
          <w:rFonts w:ascii="PT Astra Serif" w:eastAsia="Calibri" w:hAnsi="PT Astra Serif"/>
          <w:szCs w:val="26"/>
          <w:lang w:eastAsia="en-US"/>
        </w:rPr>
        <w:t>ечение 3 месяцев со дня истечения срока, указанного в требовании.».</w:t>
      </w:r>
    </w:p>
    <w:p w:rsidR="00035EC2" w:rsidRDefault="00AF1470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035EC2" w:rsidRDefault="00AF1470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3. Настоящее постановление вступает в силу со дня его официального </w:t>
      </w:r>
      <w:r>
        <w:rPr>
          <w:rFonts w:ascii="PT Astra Serif" w:hAnsi="PT Astra Serif" w:cs="PT Astra Serif"/>
          <w:szCs w:val="26"/>
        </w:rPr>
        <w:t>опубликования.</w:t>
      </w:r>
    </w:p>
    <w:p w:rsidR="00035EC2" w:rsidRDefault="00035EC2">
      <w:pPr>
        <w:ind w:firstLine="567"/>
        <w:jc w:val="both"/>
        <w:rPr>
          <w:rFonts w:ascii="PT Astra Serif" w:hAnsi="PT Astra Serif" w:cs="PT Astra Serif"/>
          <w:szCs w:val="26"/>
        </w:rPr>
      </w:pPr>
    </w:p>
    <w:p w:rsidR="00035EC2" w:rsidRDefault="00035EC2">
      <w:pPr>
        <w:ind w:firstLine="567"/>
        <w:jc w:val="both"/>
        <w:rPr>
          <w:rFonts w:ascii="PT Astra Serif" w:hAnsi="PT Astra Serif" w:cs="PT Astra Serif"/>
          <w:szCs w:val="26"/>
        </w:rPr>
      </w:pPr>
    </w:p>
    <w:p w:rsidR="00035EC2" w:rsidRDefault="00035EC2">
      <w:pPr>
        <w:ind w:firstLine="567"/>
        <w:jc w:val="both"/>
        <w:rPr>
          <w:rFonts w:ascii="PT Astra Serif" w:hAnsi="PT Astra Serif" w:cs="PT Astra Serif"/>
          <w:szCs w:val="26"/>
        </w:rPr>
      </w:pPr>
    </w:p>
    <w:p w:rsidR="00035EC2" w:rsidRDefault="00035EC2">
      <w:pPr>
        <w:ind w:firstLine="567"/>
        <w:jc w:val="both"/>
        <w:rPr>
          <w:rFonts w:ascii="PT Astra Serif" w:hAnsi="PT Astra Serif" w:cs="PT Astra Serif"/>
          <w:szCs w:val="26"/>
        </w:rPr>
      </w:pPr>
    </w:p>
    <w:p w:rsidR="00035EC2" w:rsidRDefault="00AF1470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И.о. Губернатора Томской области      </w:t>
      </w:r>
      <w:r>
        <w:rPr>
          <w:rFonts w:ascii="PT Astra Serif" w:hAnsi="PT Astra Serif"/>
          <w:szCs w:val="26"/>
        </w:rPr>
        <w:tab/>
        <w:t xml:space="preserve">   А.М. Рожков</w:t>
      </w: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035EC2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035EC2" w:rsidRDefault="00AF1470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Бородулин Г.А.</w:t>
      </w:r>
    </w:p>
    <w:p w:rsidR="00035EC2" w:rsidRDefault="00AF1470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0529ms07.pa2026</w:t>
      </w:r>
    </w:p>
    <w:sectPr w:rsidR="00035EC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85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EC2" w:rsidRDefault="00AF1470">
      <w:r>
        <w:separator/>
      </w:r>
    </w:p>
  </w:endnote>
  <w:endnote w:type="continuationSeparator" w:id="0">
    <w:p w:rsidR="00035EC2" w:rsidRDefault="00AF1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EC2" w:rsidRDefault="00035EC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EC2" w:rsidRDefault="00AF1470">
      <w:r>
        <w:separator/>
      </w:r>
    </w:p>
  </w:footnote>
  <w:footnote w:type="continuationSeparator" w:id="0">
    <w:p w:rsidR="00035EC2" w:rsidRDefault="00AF1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EC2" w:rsidRDefault="00AF1470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035EC2" w:rsidRDefault="00035EC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EC2" w:rsidRPr="00AF1470" w:rsidRDefault="00AF1470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AF1470">
      <w:rPr>
        <w:rStyle w:val="afc"/>
        <w:b w:val="0"/>
        <w:sz w:val="24"/>
      </w:rPr>
      <w:fldChar w:fldCharType="begin"/>
    </w:r>
    <w:r w:rsidRPr="00AF1470">
      <w:rPr>
        <w:rStyle w:val="afc"/>
        <w:b w:val="0"/>
        <w:sz w:val="24"/>
      </w:rPr>
      <w:instrText xml:space="preserve">PAGE  </w:instrText>
    </w:r>
    <w:r w:rsidRPr="00AF1470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AF1470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035EC2" w:rsidRDefault="00035EC2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EC2" w:rsidRDefault="00AF147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5EC2" w:rsidRDefault="00AF1470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035EC2" w:rsidRDefault="00AF147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35EC2" w:rsidRDefault="00035EC2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53C47"/>
    <w:multiLevelType w:val="hybridMultilevel"/>
    <w:tmpl w:val="65303A8C"/>
    <w:lvl w:ilvl="0" w:tplc="68E475CA">
      <w:start w:val="1"/>
      <w:numFmt w:val="decimal"/>
      <w:lvlText w:val="%1)"/>
      <w:lvlJc w:val="left"/>
      <w:pPr>
        <w:ind w:left="1068" w:hanging="360"/>
      </w:pPr>
    </w:lvl>
    <w:lvl w:ilvl="1" w:tplc="60540E6C">
      <w:start w:val="1"/>
      <w:numFmt w:val="lowerLetter"/>
      <w:lvlText w:val="%2."/>
      <w:lvlJc w:val="left"/>
      <w:pPr>
        <w:ind w:left="1788" w:hanging="360"/>
      </w:pPr>
    </w:lvl>
    <w:lvl w:ilvl="2" w:tplc="8084B86C">
      <w:start w:val="1"/>
      <w:numFmt w:val="lowerRoman"/>
      <w:lvlText w:val="%3."/>
      <w:lvlJc w:val="right"/>
      <w:pPr>
        <w:ind w:left="2508" w:hanging="180"/>
      </w:pPr>
    </w:lvl>
    <w:lvl w:ilvl="3" w:tplc="B74C97C0">
      <w:start w:val="1"/>
      <w:numFmt w:val="decimal"/>
      <w:lvlText w:val="%4."/>
      <w:lvlJc w:val="left"/>
      <w:pPr>
        <w:ind w:left="3228" w:hanging="360"/>
      </w:pPr>
    </w:lvl>
    <w:lvl w:ilvl="4" w:tplc="4C023A48">
      <w:start w:val="1"/>
      <w:numFmt w:val="lowerLetter"/>
      <w:lvlText w:val="%5."/>
      <w:lvlJc w:val="left"/>
      <w:pPr>
        <w:ind w:left="3948" w:hanging="360"/>
      </w:pPr>
    </w:lvl>
    <w:lvl w:ilvl="5" w:tplc="6638E7D8">
      <w:start w:val="1"/>
      <w:numFmt w:val="lowerRoman"/>
      <w:lvlText w:val="%6."/>
      <w:lvlJc w:val="right"/>
      <w:pPr>
        <w:ind w:left="4668" w:hanging="180"/>
      </w:pPr>
    </w:lvl>
    <w:lvl w:ilvl="6" w:tplc="08E44E6E">
      <w:start w:val="1"/>
      <w:numFmt w:val="decimal"/>
      <w:lvlText w:val="%7."/>
      <w:lvlJc w:val="left"/>
      <w:pPr>
        <w:ind w:left="5388" w:hanging="360"/>
      </w:pPr>
    </w:lvl>
    <w:lvl w:ilvl="7" w:tplc="6B68E682">
      <w:start w:val="1"/>
      <w:numFmt w:val="lowerLetter"/>
      <w:lvlText w:val="%8."/>
      <w:lvlJc w:val="left"/>
      <w:pPr>
        <w:ind w:left="6108" w:hanging="360"/>
      </w:pPr>
    </w:lvl>
    <w:lvl w:ilvl="8" w:tplc="BD24A306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39635AD"/>
    <w:multiLevelType w:val="hybridMultilevel"/>
    <w:tmpl w:val="F6085168"/>
    <w:lvl w:ilvl="0" w:tplc="8D9E6560">
      <w:start w:val="1"/>
      <w:numFmt w:val="decimal"/>
      <w:lvlText w:val="%1)"/>
      <w:lvlJc w:val="left"/>
      <w:pPr>
        <w:ind w:left="927" w:hanging="360"/>
      </w:pPr>
    </w:lvl>
    <w:lvl w:ilvl="1" w:tplc="76563CD2">
      <w:start w:val="1"/>
      <w:numFmt w:val="lowerLetter"/>
      <w:lvlText w:val="%2."/>
      <w:lvlJc w:val="left"/>
      <w:pPr>
        <w:ind w:left="1647" w:hanging="360"/>
      </w:pPr>
    </w:lvl>
    <w:lvl w:ilvl="2" w:tplc="952064B4">
      <w:start w:val="1"/>
      <w:numFmt w:val="lowerRoman"/>
      <w:lvlText w:val="%3."/>
      <w:lvlJc w:val="right"/>
      <w:pPr>
        <w:ind w:left="2367" w:hanging="180"/>
      </w:pPr>
    </w:lvl>
    <w:lvl w:ilvl="3" w:tplc="D1F09C24">
      <w:start w:val="1"/>
      <w:numFmt w:val="decimal"/>
      <w:lvlText w:val="%4."/>
      <w:lvlJc w:val="left"/>
      <w:pPr>
        <w:ind w:left="3087" w:hanging="360"/>
      </w:pPr>
    </w:lvl>
    <w:lvl w:ilvl="4" w:tplc="91CEFE9C">
      <w:start w:val="1"/>
      <w:numFmt w:val="lowerLetter"/>
      <w:lvlText w:val="%5."/>
      <w:lvlJc w:val="left"/>
      <w:pPr>
        <w:ind w:left="3807" w:hanging="360"/>
      </w:pPr>
    </w:lvl>
    <w:lvl w:ilvl="5" w:tplc="3FCA92B6">
      <w:start w:val="1"/>
      <w:numFmt w:val="lowerRoman"/>
      <w:lvlText w:val="%6."/>
      <w:lvlJc w:val="right"/>
      <w:pPr>
        <w:ind w:left="4527" w:hanging="180"/>
      </w:pPr>
    </w:lvl>
    <w:lvl w:ilvl="6" w:tplc="B9E4EFD0">
      <w:start w:val="1"/>
      <w:numFmt w:val="decimal"/>
      <w:lvlText w:val="%7."/>
      <w:lvlJc w:val="left"/>
      <w:pPr>
        <w:ind w:left="5247" w:hanging="360"/>
      </w:pPr>
    </w:lvl>
    <w:lvl w:ilvl="7" w:tplc="A66AC4CC">
      <w:start w:val="1"/>
      <w:numFmt w:val="lowerLetter"/>
      <w:lvlText w:val="%8."/>
      <w:lvlJc w:val="left"/>
      <w:pPr>
        <w:ind w:left="5967" w:hanging="360"/>
      </w:pPr>
    </w:lvl>
    <w:lvl w:ilvl="8" w:tplc="65DC363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D25566E"/>
    <w:multiLevelType w:val="hybridMultilevel"/>
    <w:tmpl w:val="05AC12DC"/>
    <w:lvl w:ilvl="0" w:tplc="F3BC126E">
      <w:start w:val="1"/>
      <w:numFmt w:val="decimal"/>
      <w:lvlText w:val="%1."/>
      <w:lvlJc w:val="left"/>
      <w:pPr>
        <w:ind w:left="900" w:hanging="360"/>
      </w:pPr>
    </w:lvl>
    <w:lvl w:ilvl="1" w:tplc="7070E228">
      <w:start w:val="1"/>
      <w:numFmt w:val="lowerLetter"/>
      <w:lvlText w:val="%2."/>
      <w:lvlJc w:val="left"/>
      <w:pPr>
        <w:ind w:left="1620" w:hanging="360"/>
      </w:pPr>
    </w:lvl>
    <w:lvl w:ilvl="2" w:tplc="CC08E4B8">
      <w:start w:val="1"/>
      <w:numFmt w:val="lowerRoman"/>
      <w:lvlText w:val="%3."/>
      <w:lvlJc w:val="right"/>
      <w:pPr>
        <w:ind w:left="2340" w:hanging="180"/>
      </w:pPr>
    </w:lvl>
    <w:lvl w:ilvl="3" w:tplc="10BAFFB8">
      <w:start w:val="1"/>
      <w:numFmt w:val="decimal"/>
      <w:lvlText w:val="%4."/>
      <w:lvlJc w:val="left"/>
      <w:pPr>
        <w:ind w:left="3060" w:hanging="360"/>
      </w:pPr>
    </w:lvl>
    <w:lvl w:ilvl="4" w:tplc="FDD6BFBA">
      <w:start w:val="1"/>
      <w:numFmt w:val="lowerLetter"/>
      <w:lvlText w:val="%5."/>
      <w:lvlJc w:val="left"/>
      <w:pPr>
        <w:ind w:left="3780" w:hanging="360"/>
      </w:pPr>
    </w:lvl>
    <w:lvl w:ilvl="5" w:tplc="B518DE7E">
      <w:start w:val="1"/>
      <w:numFmt w:val="lowerRoman"/>
      <w:lvlText w:val="%6."/>
      <w:lvlJc w:val="right"/>
      <w:pPr>
        <w:ind w:left="4500" w:hanging="180"/>
      </w:pPr>
    </w:lvl>
    <w:lvl w:ilvl="6" w:tplc="0A3AC282">
      <w:start w:val="1"/>
      <w:numFmt w:val="decimal"/>
      <w:lvlText w:val="%7."/>
      <w:lvlJc w:val="left"/>
      <w:pPr>
        <w:ind w:left="5220" w:hanging="360"/>
      </w:pPr>
    </w:lvl>
    <w:lvl w:ilvl="7" w:tplc="71FC623A">
      <w:start w:val="1"/>
      <w:numFmt w:val="lowerLetter"/>
      <w:lvlText w:val="%8."/>
      <w:lvlJc w:val="left"/>
      <w:pPr>
        <w:ind w:left="5940" w:hanging="360"/>
      </w:pPr>
    </w:lvl>
    <w:lvl w:ilvl="8" w:tplc="A986299A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EC2"/>
    <w:rsid w:val="00035EC2"/>
    <w:rsid w:val="00AF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25">
    <w:name w:val="Основной текст 2 Знак"/>
    <w:link w:val="24"/>
    <w:rsid w:val="00AF1470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25">
    <w:name w:val="Основной текст 2 Знак"/>
    <w:link w:val="24"/>
    <w:rsid w:val="00AF1470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2026-06-01T07:12:00Z</dcterms:created>
  <dcterms:modified xsi:type="dcterms:W3CDTF">2026-06-01T07:12:00Z</dcterms:modified>
  <cp:version>917504</cp:version>
</cp:coreProperties>
</file>