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701"/>
        <w:gridCol w:w="5669"/>
        <w:gridCol w:w="2269"/>
      </w:tblGrid>
      <w:tr>
        <w:tblPrEx>
          <w:tblW w:w="9639" w:type="dxa"/>
          <w:tblInd w:w="0" w:type="dxa"/>
          <w:tblLayout w:type="fixed"/>
          <w:tblLook w:val="04A0"/>
        </w:tblPrEx>
        <w:tc>
          <w:tcPr>
            <w:tcW w:w="1701" w:type="dxa"/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29.06.2026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noWrap w:val="0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tc>
          <w:tcPr>
            <w:tcW w:w="2269" w:type="dxa"/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11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>
      <w:pPr>
        <w:pStyle w:val="ConsPlusNormal"/>
        <w:spacing w:before="480" w:after="0"/>
        <w:jc w:val="center"/>
      </w:pPr>
      <w:bookmarkStart w:id="0" w:name="undefined_Копия_1"/>
      <w:r>
        <w:rPr>
          <w:rFonts w:ascii="PT Astra Serif" w:hAnsi="PT Astra Serif" w:cs="Times New Roman"/>
          <w:sz w:val="28"/>
          <w:szCs w:val="28"/>
        </w:rPr>
        <w:t xml:space="preserve">Об утверждении нормативных затрат на обеспечение функций </w:t>
        <w:br/>
        <w:t>Департамента ветеринарии Томской облас</w:t>
      </w:r>
      <w:bookmarkEnd w:id="0"/>
      <w:r>
        <w:rPr>
          <w:rFonts w:ascii="PT Astra Serif" w:hAnsi="PT Astra Serif" w:cs="Times New Roman"/>
          <w:sz w:val="28"/>
          <w:szCs w:val="28"/>
        </w:rPr>
        <w:t>ти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В соответствии с частью 5 статьи 19 Федерального закона от 5 апреля 2013 года № 44-ФЗ «О контрактной системе в сфере закупок товаров, работ, услуг для обеспечения государс</w:t>
      </w:r>
      <w:bookmarkStart w:id="1" w:name="_GoBack"/>
      <w:r>
        <w:rPr>
          <w:rFonts w:ascii="PT Astra Serif" w:hAnsi="PT Astra Serif" w:cs="Times New Roman"/>
          <w:sz w:val="28"/>
          <w:szCs w:val="28"/>
        </w:rPr>
        <w:t>т</w:t>
      </w:r>
      <w:bookmarkEnd w:id="1"/>
      <w:r>
        <w:rPr>
          <w:rFonts w:ascii="PT Astra Serif" w:hAnsi="PT Astra Serif" w:cs="Times New Roman"/>
          <w:sz w:val="28"/>
          <w:szCs w:val="28"/>
        </w:rPr>
        <w:t>венных и муниципальных нужд», постанов</w:t>
      </w:r>
      <w:r>
        <w:rPr>
          <w:rFonts w:ascii="PT Astra Serif" w:hAnsi="PT Astra Serif" w:cs="Times New Roman"/>
          <w:sz w:val="28"/>
          <w:szCs w:val="28"/>
        </w:rPr>
        <w:t>лением Администрации Томской области от 16.12.2015 № 460а «Об утверждении требований к порядку разработки и принятия правовых актов о нормировании в сфере закупок для обеспечения нужд Томской области, содержанию указанных актов и обеспечению их исполнения»</w:t>
      </w:r>
    </w:p>
    <w:p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1. Утвердить нормативные затраты на обеспечение функций Департамента ветеринарии Томской области согласно приложению № 1 к настоящему приказу.</w:t>
      </w:r>
    </w:p>
    <w:p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2. Утвердить нормативы количества, цены товаров, работ, услуг, предназначенных для обеспечения функций Департамента ветеринарии Томской области, согласно приложению № 2 к настоящему приказу.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>3. Признат</w:t>
      </w:r>
      <w:r>
        <w:rPr>
          <w:rFonts w:ascii="PT Astra Serif" w:hAnsi="PT Astra Serif" w:cs="Times New Roman"/>
          <w:sz w:val="28"/>
          <w:szCs w:val="28"/>
        </w:rPr>
        <w:t>ь утратившим силу приказ Управления ветеринарии Томской области от от 15.07.2016 № 53 «Об утверждении нормативных затрат на обеспечение функций Департамента ветеринарии Томской области и подведомственных ему областных государственных бюджетных учреждений».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undefine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И.В. Егоров</w:t>
            </w:r>
          </w:p>
        </w:tc>
      </w:tr>
    </w:tbl>
    <w:p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Times New Roman"/>
          <w:sz w:val="28"/>
          <w:szCs w:val="28"/>
          <w:lang w:val="en-US"/>
        </w:rPr>
      </w:pPr>
    </w:p>
    <w:p>
      <w:pPr>
        <w:tabs>
          <w:tab w:val="clear" w:pos="708"/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clear" w:pos="708"/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clear" w:pos="708"/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clear" w:pos="708"/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clear" w:pos="708"/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clear" w:pos="708"/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clear" w:pos="708"/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clear" w:pos="708"/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clear" w:pos="708"/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sectPr>
          <w:headerReference w:type="even" r:id="rId4"/>
          <w:headerReference w:type="default" r:id="rId5"/>
          <w:headerReference w:type="first" r:id="rId6"/>
          <w:type w:val="continuous"/>
          <w:pgSz w:w="11906" w:h="16838" w:orient="portrait"/>
          <w:pgMar w:top="1134" w:right="851" w:bottom="1134" w:left="1418" w:header="714" w:footer="0" w:gutter="0"/>
          <w:cols w:num="1" w:sep="0" w:space="1701" w:equalWidth="1"/>
          <w:titlePg/>
          <w:docGrid w:linePitch="360"/>
        </w:sectPr>
      </w:pPr>
    </w:p>
    <w:p>
      <w:pPr>
        <w:ind w:left="5669"/>
        <w:rPr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</w:t>
      </w:r>
      <w:r>
        <w:rPr>
          <w:rFonts w:ascii="PT Astra Serif" w:eastAsia="PT Astra Serif" w:hAnsi="PT Astra Serif" w:cs="PT Astra Serif"/>
          <w:sz w:val="28"/>
          <w:szCs w:val="28"/>
        </w:rPr>
        <w:t>ние</w:t>
      </w:r>
      <w:r>
        <w:rPr>
          <w:rFonts w:ascii="PT Astra Serif" w:hAnsi="PT Astra Serif" w:cs="PT Astra Serif"/>
          <w:sz w:val="28"/>
          <w:szCs w:val="28"/>
        </w:rPr>
        <w:t xml:space="preserve"> № 1</w:t>
      </w:r>
    </w:p>
    <w:p>
      <w:pPr>
        <w:tabs>
          <w:tab w:val="left" w:pos="7088"/>
        </w:tabs>
        <w:ind w:left="5669"/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hyperlink r:id="rId7" w:tooltip="https://phones.tomsk.gov.ru/phonebook/department?id=280&amp;type=2" w:history="1">
        <w:r>
          <w:rPr>
            <w:rFonts w:ascii="PT Astra Serif" w:eastAsia="PT Astra Serif" w:hAnsi="PT Astra Serif" w:cs="PT Astra Serif"/>
            <w:sz w:val="28"/>
          </w:rPr>
          <w:t>Департамента ветеринарии Томской области</w:t>
        </w:r>
      </w:hyperlink>
    </w:p>
    <w:p>
      <w:pPr>
        <w:tabs>
          <w:tab w:val="left" w:pos="7088"/>
        </w:tabs>
        <w:ind w:left="5669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29.06.2026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11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>
      <w:pPr>
        <w:tabs>
          <w:tab w:val="left" w:pos="7088"/>
        </w:tabs>
        <w:rPr>
          <w:rFonts w:ascii="PT Astra Serif" w:hAnsi="PT Astra Serif" w:cs="PT Astra Serif"/>
          <w:color w:val="000000"/>
          <w:highlight w:val="lightGray"/>
        </w:rPr>
      </w:pPr>
    </w:p>
    <w:p>
      <w:pPr>
        <w:tabs>
          <w:tab w:val="clear" w:pos="708"/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>
      <w:pPr>
        <w:widowControl w:val="0"/>
        <w:spacing w:before="0" w:after="0"/>
        <w:ind w:left="0" w:right="0" w:firstLine="0"/>
        <w:contextualSpacing/>
        <w:jc w:val="center"/>
        <w:rPr>
          <w:sz w:val="28"/>
          <w:szCs w:val="28"/>
        </w:rPr>
      </w:pPr>
      <w:r>
        <w:rPr>
          <w:rFonts w:ascii="PT Astra Serif" w:eastAsia="Calibri" w:hAnsi="PT Astra Serif"/>
          <w:bCs/>
          <w:sz w:val="28"/>
          <w:szCs w:val="28"/>
        </w:rPr>
        <w:t xml:space="preserve">Нормативные затраты </w:t>
      </w:r>
    </w:p>
    <w:p>
      <w:pPr>
        <w:widowControl w:val="0"/>
        <w:spacing w:before="0" w:after="0"/>
        <w:ind w:hanging="142"/>
        <w:contextualSpacing/>
        <w:jc w:val="center"/>
        <w:rPr>
          <w:sz w:val="28"/>
          <w:szCs w:val="28"/>
        </w:rPr>
      </w:pPr>
      <w:r>
        <w:rPr>
          <w:rFonts w:ascii="PT Astra Serif" w:eastAsia="Calibri" w:hAnsi="PT Astra Serif"/>
          <w:bCs/>
          <w:sz w:val="28"/>
          <w:szCs w:val="28"/>
        </w:rPr>
        <w:t>на обеспечение функций Департамента ветеринарии Томской области</w:t>
      </w:r>
    </w:p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widowControl w:val="0"/>
        <w:spacing w:before="0" w:after="0" w:line="240" w:lineRule="auto"/>
        <w:ind w:left="0" w:firstLine="0"/>
        <w:jc w:val="center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>1. Общие положения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1. Настоящие нормативные затраты на обеспечение функций Департамента ветеринарии Томской области (далее – нормативные затраты) </w:t>
      </w:r>
      <w:r>
        <w:rPr>
          <w:rFonts w:ascii="PT Astra Serif" w:eastAsia="Calibri" w:hAnsi="PT Astra Serif"/>
          <w:sz w:val="28"/>
          <w:szCs w:val="28"/>
        </w:rPr>
        <w:t>применяются при формировании обоснования бюджетных ассигнований бюджета Томской области на закупки товаров, работ, услуг при формировании проекта бюджета Томской области для обоснования объекта и (или) объектов закупки, включенных в план –график закупок.</w:t>
      </w:r>
    </w:p>
    <w:p>
      <w:pPr>
        <w:tabs>
          <w:tab w:val="clear" w:pos="708"/>
          <w:tab w:val="left" w:pos="993"/>
        </w:tabs>
        <w:spacing w:before="0" w:after="0"/>
        <w:ind w:firstLine="851"/>
        <w:contextualSpacing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2. Общий объем затрат, связанных с закупкой товаров, работ, услуг, рассчита</w:t>
      </w:r>
      <w:r>
        <w:rPr>
          <w:rFonts w:ascii="PT Astra Serif" w:eastAsia="Calibri" w:hAnsi="PT Astra Serif"/>
          <w:sz w:val="28"/>
          <w:szCs w:val="28"/>
        </w:rPr>
        <w:t>нный на основе нормативных затрат, не может превышать объем доведенных до Департамента ветеринарии Томской области (далее - Департамент) лимитов бюджетных обязательств на закупку товаров, работ, услуг в рамках исполнения областного бюджета Томской области.</w:t>
      </w:r>
    </w:p>
    <w:p>
      <w:pPr>
        <w:shd w:val="clear" w:color="auto" w:fill="FFFFFF"/>
        <w:tabs>
          <w:tab w:val="clear" w:pos="708"/>
          <w:tab w:val="left" w:pos="993"/>
        </w:tabs>
        <w:spacing w:before="0" w:after="0"/>
        <w:ind w:firstLine="851"/>
        <w:contextualSpacing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3. При определении нормативных затрат применяются национальные стандарты, технические регламенты, технические условия и иные документы, а также учитываются регулируемые цены (тарифы).</w:t>
      </w:r>
    </w:p>
    <w:p>
      <w:pPr>
        <w:spacing w:before="0" w:after="0"/>
        <w:ind w:firstLine="851"/>
        <w:contextualSpacing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4. 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Департамента.</w:t>
      </w:r>
    </w:p>
    <w:p>
      <w:pPr>
        <w:spacing w:before="0" w:after="0"/>
        <w:ind w:firstLine="851"/>
        <w:contextualSpacing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5. В отношении товаров, относящихся к основным средствам, устанавливаются сроки их полезного использования в соответствии с требования и законодательства Российской Федерации о бухгалтерском учете или исходя из предполаг</w:t>
      </w:r>
      <w:r>
        <w:rPr>
          <w:rFonts w:ascii="PT Astra Serif" w:eastAsia="Calibri" w:hAnsi="PT Astra Serif"/>
          <w:sz w:val="28"/>
          <w:szCs w:val="28"/>
        </w:rPr>
        <w:t>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>
      <w:pPr>
        <w:spacing w:before="0" w:after="0"/>
        <w:ind w:firstLine="851"/>
        <w:contextualSpacing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6. Нормативные затраты подлежат размещению в единой информационной системе в сфере закупок.</w:t>
      </w:r>
    </w:p>
    <w:p>
      <w:pPr>
        <w:ind w:firstLine="851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7. При расчете нормативных затрат следует руководствоваться расчетной численностью работников Департамента, которая определяется с округлением до целого числа по формуле:</w:t>
      </w:r>
    </w:p>
    <w:p>
      <w:pPr>
        <w:ind w:left="0" w:right="0" w:firstLine="0"/>
        <w:jc w:val="center"/>
        <w:rPr>
          <w:rFonts w:ascii="PT Astra Serif" w:eastAsia="Calibri" w:hAnsi="PT Astra Serif"/>
          <w:sz w:val="28"/>
          <w:szCs w:val="28"/>
        </w:rPr>
      </w:pPr>
      <w:r>
        <w:drawing>
          <wp:inline distT="0" distB="0" distL="0" distR="0">
            <wp:extent cx="276225" cy="276225"/>
            <wp:effectExtent l="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rFonts w:ascii="PT Astra Serif" w:eastAsia="Calibri" w:hAnsi="PT Astra Serif"/>
          <w:sz w:val="28"/>
          <w:szCs w:val="28"/>
        </w:rPr>
        <w:t xml:space="preserve"> </w:t>
      </w:r>
      <w:r>
        <w:rPr>
          <w:rFonts w:ascii="PT Astra Serif" w:eastAsia="Calibri" w:hAnsi="PT Astra Serif"/>
          <w:sz w:val="28"/>
          <w:szCs w:val="28"/>
        </w:rPr>
        <w:t>= (Чфакт ггс + Чфакт гд) х 1,1,</w:t>
      </w:r>
    </w:p>
    <w:p>
      <w:pPr>
        <w:ind w:firstLine="851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где:</w:t>
      </w:r>
    </w:p>
    <w:p>
      <w:pPr>
        <w:widowControl w:val="0"/>
        <w:ind w:firstLine="851"/>
        <w:jc w:val="both"/>
        <w:rPr>
          <w:rFonts w:ascii="PT Astra Serif" w:eastAsia="Calibri" w:hAnsi="PT Astra Serif"/>
          <w:sz w:val="28"/>
          <w:szCs w:val="28"/>
        </w:rPr>
      </w:pPr>
      <w:r>
        <w:drawing>
          <wp:inline distT="0" distB="0" distL="0" distR="0">
            <wp:extent cx="276225" cy="2381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rFonts w:ascii="PT Astra Serif" w:eastAsia="Calibri" w:hAnsi="PT Astra Serif"/>
          <w:sz w:val="28"/>
          <w:szCs w:val="28"/>
        </w:rPr>
        <w:t> – </w:t>
      </w:r>
      <w:r>
        <w:rPr>
          <w:rFonts w:ascii="PT Astra Serif" w:eastAsia="Calibri" w:hAnsi="PT Astra Serif"/>
          <w:sz w:val="28"/>
          <w:szCs w:val="28"/>
        </w:rPr>
        <w:t xml:space="preserve">расчетная численность работников, определяемая в соответствии с </w:t>
      </w:r>
      <w:hyperlink r:id="rId9" w:tooltip="consultantplus://offline/ref=705B2DBEB6E85213A01435029C6BFCB1A0F3F9BED1BABDFB4D16B8D2FD776DFDC5D4E4F19D8D8F05zEn9M" w:history="1">
        <w:r>
          <w:rPr>
            <w:rFonts w:ascii="PT Astra Serif" w:eastAsia="Calibri" w:hAnsi="PT Astra Serif"/>
            <w:sz w:val="28"/>
            <w:szCs w:val="28"/>
          </w:rPr>
          <w:t>пунктами 17</w:t>
        </w:r>
      </w:hyperlink>
      <w:r>
        <w:rPr>
          <w:rFonts w:ascii="PT Astra Serif" w:eastAsia="Calibri" w:hAnsi="PT Astra Serif"/>
          <w:sz w:val="28"/>
          <w:szCs w:val="28"/>
        </w:rPr>
        <w:t xml:space="preserve"> – </w:t>
      </w:r>
      <w:hyperlink r:id="rId10" w:tooltip="consultantplus://offline/ref=705B2DBEB6E85213A01435029C6BFCB1A0F3F9BED1BABDFB4D16B8D2FD776DFDC5D4E4F19D8D8C0DzEnBM" w:history="1">
        <w:r>
          <w:rPr>
            <w:rFonts w:ascii="PT Astra Serif" w:eastAsia="Calibri" w:hAnsi="PT Astra Serif"/>
            <w:sz w:val="28"/>
            <w:szCs w:val="28"/>
          </w:rPr>
          <w:t>22</w:t>
        </w:r>
      </w:hyperlink>
      <w:r>
        <w:rPr>
          <w:rFonts w:ascii="PT Astra Serif" w:eastAsia="Calibri" w:hAnsi="PT Astra Serif"/>
          <w:sz w:val="28"/>
          <w:szCs w:val="28"/>
        </w:rPr>
        <w:t xml:space="preserve"> Общих требований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утвержденных п</w:t>
      </w:r>
      <w:r>
        <w:rPr>
          <w:rFonts w:ascii="PT Astra Serif" w:eastAsia="Calibri" w:hAnsi="PT Astra Serif"/>
          <w:sz w:val="28"/>
          <w:szCs w:val="28"/>
        </w:rPr>
        <w:t>остановлением Правительства Российской Федерации от 13.10.2014 № 1047 «Об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органов».</w:t>
      </w:r>
    </w:p>
    <w:p>
      <w:pPr>
        <w:ind w:firstLine="851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Чфакт ггс – фактическая численность государственных гражданских служащих Департамента;</w:t>
      </w:r>
    </w:p>
    <w:p>
      <w:pPr>
        <w:ind w:firstLine="851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Чфакт гд – фактическая численность работников Департамента, не являющиеся должностями государственной гражданской службы;</w:t>
      </w:r>
    </w:p>
    <w:p>
      <w:pPr>
        <w:ind w:firstLine="851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1,1 – коэффициент, используемый на случай замещения вакантных должностей.</w:t>
      </w:r>
    </w:p>
    <w:p>
      <w:pPr>
        <w:ind w:firstLine="851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При этом полученное значение расчетной численности Чоп не может превышать значение предельной штатной численности работников Департамента.</w:t>
      </w:r>
    </w:p>
    <w:p>
      <w:pPr>
        <w:pStyle w:val="ConsPlusNormal"/>
        <w:ind w:firstLine="851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Если полученное значение расчетной численности превышает значение предельной численности Департамента, при определении нормативных затрат используется значение предельной численности.</w:t>
      </w:r>
    </w:p>
    <w:p>
      <w:pPr>
        <w:tabs>
          <w:tab w:val="clear" w:pos="708"/>
          <w:tab w:val="left" w:pos="993"/>
        </w:tabs>
        <w:spacing w:before="0" w:after="0"/>
        <w:ind w:firstLine="851"/>
        <w:contextualSpacing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8. При определении нормативных затрат применяется нормативная цена товара</w:t>
      </w:r>
      <w:r>
        <w:rPr>
          <w:rFonts w:ascii="PT Astra Serif" w:eastAsia="Calibri" w:hAnsi="PT Astra Serif"/>
          <w:sz w:val="28"/>
          <w:szCs w:val="28"/>
        </w:rPr>
        <w:t>, работы, услуги, которая определяется в соответствии со статьей 22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ConsPlusNormal"/>
        <w:ind w:firstLine="851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9. Нормативные затраты рассчитываются в соответствии с Методикой определения нормативных затрат на </w:t>
      </w:r>
      <w:r>
        <w:rPr>
          <w:rFonts w:ascii="PT Astra Serif" w:eastAsia="Calibri" w:hAnsi="PT Astra Serif" w:cs="Times New Roman"/>
          <w:sz w:val="28"/>
          <w:szCs w:val="28"/>
          <w:lang w:eastAsia="en-US"/>
        </w:rPr>
        <w:t xml:space="preserve">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 утвержденной постановлением Администрации Томской области от 30.12.2015 № 489а </w:t>
      </w:r>
      <w:r>
        <w:rPr>
          <w:rFonts w:ascii="PT Astra Serif" w:eastAsia="Calibri" w:hAnsi="PT Astra Serif" w:cs="Times New Roman"/>
          <w:sz w:val="28"/>
          <w:szCs w:val="28"/>
          <w:lang w:eastAsia="en-US"/>
        </w:rPr>
        <w:t>(далее – Методика).</w:t>
      </w:r>
    </w:p>
    <w:p>
      <w:pPr>
        <w:pStyle w:val="ConsPlusNormal"/>
        <w:ind w:firstLine="851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10. Затраты, не включенные в Методику, на приобретение средств ветеринарного применения на проведение противоэпизоотических мероприятий определяются по следующим формулам:</w:t>
      </w:r>
    </w:p>
    <w:p>
      <w:pPr>
        <w:pStyle w:val="ConsPlusNormal"/>
        <w:ind w:firstLine="851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1) затраты на приобретение препаратов ветеринарного назначения (вакцины, сыровотки, антипаразитарные и антибактериальные препараты, диагностические среды, наборы и препараты, питательные среды, дезинфектанты для наружного применения, перевязочный материал)</w:t>
      </w:r>
    </w:p>
    <w:p>
      <w:pPr>
        <w:pStyle w:val="ConsPlusNormal"/>
        <w:ind w:left="0" w:right="0" w:firstLine="0"/>
        <w:jc w:val="center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ЗЛП  = VВП x K x P,</w:t>
      </w:r>
    </w:p>
    <w:p>
      <w:pPr>
        <w:pStyle w:val="ConsPlusNormal"/>
        <w:ind w:firstLine="851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где:</w:t>
      </w:r>
    </w:p>
    <w:p>
      <w:pPr>
        <w:pStyle w:val="ConsPlusNormal"/>
        <w:ind w:firstLine="851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ЗЛП – затраты на приобретение препаратов ветеринарного назначения;</w:t>
      </w:r>
    </w:p>
    <w:p>
      <w:pPr>
        <w:pStyle w:val="ConsPlusNormal"/>
        <w:ind w:firstLine="851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VВП – объем препарата или расходного материала для ветеринарного применения на одну головообработку (количество доз, упаковок, наборов и т.д.), выражается в граммах, литрах, дозах, упаковках, наборах;</w:t>
      </w:r>
    </w:p>
    <w:p>
      <w:pPr>
        <w:pStyle w:val="ConsPlusNormal"/>
        <w:ind w:firstLine="851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К – количество голообработок согласно плану противоэпизоотических мероприятий на текущий год, утвержденному Департаментом;</w:t>
      </w:r>
    </w:p>
    <w:p>
      <w:pPr>
        <w:pStyle w:val="ConsPlusNormal"/>
        <w:ind w:firstLine="851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P – нормативная цена единицы планируемого к приобретению препарата или расходного материала необходимого на одну голообработку;</w:t>
      </w:r>
    </w:p>
    <w:p>
      <w:pPr>
        <w:pStyle w:val="ConsPlusNormal"/>
        <w:ind w:firstLine="851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  <w:lang w:eastAsia="en-US"/>
        </w:rPr>
        <w:t>2)</w:t>
      </w:r>
      <w:r>
        <w:rPr>
          <w:rFonts w:ascii="PT Astra Serif" w:eastAsia="Calibri" w:hAnsi="PT Astra Serif" w:cs="Times New Roman"/>
          <w:sz w:val="28"/>
          <w:szCs w:val="28"/>
          <w:lang w:val="en-US" w:eastAsia="en-US"/>
        </w:rPr>
        <w:t> </w:t>
      </w:r>
      <w:r>
        <w:rPr>
          <w:rFonts w:ascii="PT Astra Serif" w:eastAsia="Calibri" w:hAnsi="PT Astra Serif" w:cs="Times New Roman"/>
          <w:sz w:val="28"/>
          <w:szCs w:val="28"/>
          <w:lang w:eastAsia="en-US"/>
        </w:rPr>
        <w:t>з</w:t>
      </w:r>
      <w:r>
        <w:rPr>
          <w:rFonts w:ascii="PT Astra Serif" w:hAnsi="PT Astra Serif" w:cs="Times New Roman"/>
          <w:sz w:val="28"/>
          <w:szCs w:val="28"/>
        </w:rPr>
        <w:t>атраты на приобретение</w:t>
      </w:r>
      <w:r>
        <w:rPr>
          <w:rFonts w:ascii="PT Astra Serif" w:hAnsi="PT Astra Serif" w:cs="Times New Roman"/>
          <w:sz w:val="28"/>
          <w:szCs w:val="28"/>
          <w:u w:val="none"/>
        </w:rPr>
        <w:t xml:space="preserve"> </w:t>
      </w:r>
      <w:hyperlink r:id="rId11" w:tooltip="https://www.google.ru/search?newwindow=1&amp;biw=1920&amp;bih=907&amp;q=приобретение+дезинфекционных+средств&amp;spell=1&amp;sa=X&amp;ved=0ahUKEwi909bjhLbLAhUFLZoKHT-HBzIQvwUIGCgA" w:history="1">
        <w:r>
          <w:rPr>
            <w:rStyle w:val="Hyperlink"/>
            <w:rFonts w:ascii="PT Astra Serif" w:hAnsi="PT Astra Serif" w:cs="Times New Roman"/>
            <w:color w:val="000000"/>
            <w:sz w:val="28"/>
            <w:szCs w:val="28"/>
            <w:u w:val="none"/>
          </w:rPr>
          <w:t>дезинфекционных средств</w:t>
        </w:r>
      </w:hyperlink>
      <w:r>
        <w:rPr>
          <w:rFonts w:ascii="PT Astra Serif" w:hAnsi="PT Astra Serif" w:cs="Times New Roman"/>
          <w:color w:val="000000"/>
          <w:sz w:val="28"/>
          <w:szCs w:val="28"/>
          <w:u w:val="none"/>
        </w:rPr>
        <w:t xml:space="preserve"> </w:t>
      </w:r>
      <w:r>
        <w:rPr>
          <w:rFonts w:ascii="PT Astra Serif" w:hAnsi="PT Astra Serif" w:cs="Times New Roman"/>
          <w:color w:val="000000"/>
          <w:sz w:val="28"/>
          <w:szCs w:val="28"/>
        </w:rPr>
        <w:t>для ветеринарного применения:</w:t>
      </w:r>
    </w:p>
    <w:p>
      <w:pPr>
        <w:pStyle w:val="ConsPlusNormal"/>
        <w:ind w:left="0" w:right="0" w:firstLine="0"/>
        <w:jc w:val="center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З</w:t>
      </w:r>
      <w:r>
        <w:rPr>
          <w:rFonts w:ascii="PT Astra Serif" w:hAnsi="PT Astra Serif" w:cs="Times New Roman"/>
          <w:color w:val="000000"/>
          <w:sz w:val="28"/>
          <w:szCs w:val="28"/>
          <w:vertAlign w:val="subscript"/>
        </w:rPr>
        <w:t>ДС</w:t>
      </w:r>
      <w:r>
        <w:rPr>
          <w:rFonts w:ascii="PT Astra Serif" w:hAnsi="PT Astra Serif" w:cs="Times New Roman"/>
          <w:color w:val="000000"/>
          <w:sz w:val="28"/>
          <w:szCs w:val="28"/>
          <w:vertAlign w:val="subscript"/>
          <w:lang w:val="en-US"/>
        </w:rPr>
        <w:t xml:space="preserve"> </w:t>
      </w:r>
      <w:r>
        <w:rPr>
          <w:rFonts w:ascii="PT Astra Serif" w:hAnsi="PT Astra Serif" w:cs="Times New Roman"/>
          <w:color w:val="000000"/>
          <w:sz w:val="28"/>
          <w:szCs w:val="28"/>
          <w:lang w:val="en-US"/>
        </w:rPr>
        <w:t xml:space="preserve"> = V</w:t>
      </w:r>
      <w:r>
        <w:rPr>
          <w:rFonts w:ascii="PT Astra Serif" w:hAnsi="PT Astra Serif" w:cs="Times New Roman"/>
          <w:color w:val="000000"/>
          <w:sz w:val="28"/>
          <w:szCs w:val="28"/>
          <w:vertAlign w:val="subscript"/>
        </w:rPr>
        <w:t>ДС</w:t>
      </w:r>
      <w:r>
        <w:rPr>
          <w:rFonts w:ascii="PT Astra Serif" w:hAnsi="PT Astra Serif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PT Astra Serif" w:hAnsi="PT Astra Serif" w:cs="Times New Roman"/>
          <w:color w:val="000000"/>
          <w:sz w:val="28"/>
          <w:szCs w:val="28"/>
          <w:vertAlign w:val="subscript"/>
          <w:lang w:val="en-US"/>
        </w:rPr>
        <w:t xml:space="preserve"> </w:t>
      </w:r>
      <w:r>
        <w:rPr>
          <w:rFonts w:ascii="PT Astra Serif" w:hAnsi="PT Astra Serif" w:cs="Times New Roman"/>
          <w:color w:val="000000"/>
          <w:sz w:val="28"/>
          <w:szCs w:val="28"/>
          <w:lang w:val="en-US"/>
        </w:rPr>
        <w:t>x S x P,</w:t>
      </w:r>
    </w:p>
    <w:p>
      <w:pPr>
        <w:pStyle w:val="ConsPlusNormal"/>
        <w:ind w:firstLine="851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где:</w:t>
      </w:r>
    </w:p>
    <w:p>
      <w:pPr>
        <w:pStyle w:val="ConsPlusNormal"/>
        <w:ind w:firstLine="851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З</w:t>
      </w:r>
      <w:r>
        <w:rPr>
          <w:rFonts w:ascii="PT Astra Serif" w:hAnsi="PT Astra Serif" w:cs="Times New Roman"/>
          <w:color w:val="000000"/>
          <w:sz w:val="28"/>
          <w:szCs w:val="28"/>
          <w:vertAlign w:val="subscript"/>
        </w:rPr>
        <w:t>ДС</w:t>
      </w:r>
      <w:r>
        <w:rPr>
          <w:rFonts w:ascii="PT Astra Serif" w:hAnsi="PT Astra Serif" w:cs="Times New Roman"/>
          <w:color w:val="000000"/>
          <w:sz w:val="28"/>
          <w:szCs w:val="28"/>
          <w:lang w:val="en-US"/>
        </w:rPr>
        <w:t> </w:t>
      </w:r>
      <w:r>
        <w:rPr>
          <w:rFonts w:ascii="PT Astra Serif" w:hAnsi="PT Astra Serif" w:cs="Times New Roman"/>
          <w:color w:val="000000"/>
          <w:sz w:val="28"/>
          <w:szCs w:val="28"/>
        </w:rPr>
        <w:t>–</w:t>
      </w:r>
      <w:r>
        <w:rPr>
          <w:rFonts w:ascii="PT Astra Serif" w:hAnsi="PT Astra Serif" w:cs="Times New Roman"/>
          <w:color w:val="000000"/>
          <w:sz w:val="28"/>
          <w:szCs w:val="28"/>
          <w:lang w:val="en-US"/>
        </w:rPr>
        <w:t> </w:t>
      </w:r>
      <w:r>
        <w:rPr>
          <w:rFonts w:ascii="PT Astra Serif" w:hAnsi="PT Astra Serif" w:cs="Times New Roman"/>
          <w:color w:val="000000"/>
          <w:sz w:val="28"/>
          <w:szCs w:val="28"/>
        </w:rPr>
        <w:t>затраты на приобретение дезинфекционных средств для ветеринарного применения;</w:t>
      </w:r>
    </w:p>
    <w:p>
      <w:pPr>
        <w:pStyle w:val="ConsPlusNormal"/>
        <w:ind w:firstLine="851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  <w:lang w:val="en-US"/>
        </w:rPr>
        <w:t>V</w:t>
      </w:r>
      <w:r>
        <w:rPr>
          <w:rFonts w:ascii="PT Astra Serif" w:hAnsi="PT Astra Serif" w:cs="Times New Roman"/>
          <w:color w:val="000000"/>
          <w:sz w:val="28"/>
          <w:szCs w:val="28"/>
          <w:vertAlign w:val="subscript"/>
        </w:rPr>
        <w:t>ДС</w:t>
      </w:r>
      <w:r>
        <w:rPr>
          <w:rFonts w:ascii="PT Astra Serif" w:hAnsi="PT Astra Serif" w:cs="Times New Roman"/>
          <w:color w:val="000000"/>
          <w:sz w:val="28"/>
          <w:szCs w:val="28"/>
          <w:lang w:val="en-US"/>
        </w:rPr>
        <w:t> </w:t>
      </w:r>
      <w:r>
        <w:rPr>
          <w:rFonts w:ascii="PT Astra Serif" w:hAnsi="PT Astra Serif" w:cs="Times New Roman"/>
          <w:color w:val="000000"/>
          <w:sz w:val="28"/>
          <w:szCs w:val="28"/>
        </w:rPr>
        <w:t>–</w:t>
      </w:r>
      <w:r>
        <w:rPr>
          <w:rFonts w:ascii="PT Astra Serif" w:hAnsi="PT Astra Serif" w:cs="Times New Roman"/>
          <w:color w:val="000000"/>
          <w:sz w:val="28"/>
          <w:szCs w:val="28"/>
          <w:lang w:val="en-US"/>
        </w:rPr>
        <w:t> </w:t>
      </w:r>
      <w:r>
        <w:rPr>
          <w:rFonts w:ascii="PT Astra Serif" w:hAnsi="PT Astra Serif" w:cs="Times New Roman"/>
          <w:color w:val="000000"/>
          <w:sz w:val="28"/>
          <w:szCs w:val="28"/>
        </w:rPr>
        <w:t>норма расхода дезинфекционного средства в миллиграммах, граммах, килограммах на 1 м</w:t>
      </w:r>
      <w:r>
        <w:rPr>
          <w:rFonts w:ascii="PT Astra Serif" w:hAnsi="PT Astra Serif" w:cs="Times New Roman"/>
          <w:color w:val="000000"/>
          <w:sz w:val="28"/>
          <w:szCs w:val="28"/>
          <w:vertAlign w:val="superscript"/>
        </w:rPr>
        <w:t xml:space="preserve">2 </w:t>
      </w:r>
      <w:r>
        <w:rPr>
          <w:rFonts w:ascii="PT Astra Serif" w:hAnsi="PT Astra Serif" w:cs="Times New Roman"/>
          <w:color w:val="000000"/>
          <w:sz w:val="28"/>
          <w:szCs w:val="28"/>
        </w:rPr>
        <w:t>согласно нормативным документам;</w:t>
      </w:r>
    </w:p>
    <w:p>
      <w:pPr>
        <w:pStyle w:val="ConsPlusNormal"/>
        <w:ind w:firstLine="851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</w:rPr>
        <w:t>S</w:t>
      </w:r>
      <w:r>
        <w:rPr>
          <w:rFonts w:ascii="PT Astra Serif" w:hAnsi="PT Astra Serif" w:cs="Times New Roman"/>
          <w:color w:val="000000"/>
          <w:sz w:val="28"/>
          <w:szCs w:val="28"/>
          <w:lang w:val="en-US"/>
        </w:rPr>
        <w:t> </w:t>
      </w:r>
      <w:r>
        <w:rPr>
          <w:rFonts w:ascii="PT Astra Serif" w:hAnsi="PT Astra Serif" w:cs="Times New Roman"/>
          <w:color w:val="000000"/>
          <w:sz w:val="28"/>
          <w:szCs w:val="28"/>
        </w:rPr>
        <w:t>–</w:t>
      </w:r>
      <w:r>
        <w:rPr>
          <w:rFonts w:ascii="PT Astra Serif" w:hAnsi="PT Astra Serif" w:cs="Times New Roman"/>
          <w:color w:val="000000"/>
          <w:sz w:val="28"/>
          <w:szCs w:val="28"/>
          <w:lang w:val="en-US"/>
        </w:rPr>
        <w:t> </w:t>
      </w:r>
      <w:r>
        <w:rPr>
          <w:rFonts w:ascii="PT Astra Serif" w:hAnsi="PT Astra Serif" w:cs="Times New Roman"/>
          <w:color w:val="000000"/>
          <w:sz w:val="28"/>
          <w:szCs w:val="28"/>
        </w:rPr>
        <w:t>общая обрабатываемая площадь (м</w:t>
      </w:r>
      <w:r>
        <w:rPr>
          <w:rFonts w:ascii="PT Astra Serif" w:hAnsi="PT Astra Serif" w:cs="Times New Roman"/>
          <w:color w:val="000000"/>
          <w:sz w:val="28"/>
          <w:szCs w:val="28"/>
          <w:vertAlign w:val="superscript"/>
        </w:rPr>
        <w:t>2</w:t>
      </w:r>
      <w:r>
        <w:rPr>
          <w:rFonts w:ascii="PT Astra Serif" w:hAnsi="PT Astra Serif" w:cs="Times New Roman"/>
          <w:color w:val="000000"/>
          <w:sz w:val="28"/>
          <w:szCs w:val="28"/>
        </w:rPr>
        <w:t>);</w:t>
      </w:r>
    </w:p>
    <w:p>
      <w:pPr>
        <w:pStyle w:val="ConsPlusNormal"/>
        <w:ind w:firstLine="85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color w:val="000000"/>
          <w:sz w:val="28"/>
          <w:szCs w:val="28"/>
          <w:lang w:val="en-US"/>
        </w:rPr>
        <w:t>P </w:t>
      </w:r>
      <w:r>
        <w:rPr>
          <w:rFonts w:ascii="PT Astra Serif" w:hAnsi="PT Astra Serif" w:cs="Times New Roman"/>
          <w:color w:val="000000"/>
          <w:sz w:val="28"/>
          <w:szCs w:val="28"/>
        </w:rPr>
        <w:t>–</w:t>
      </w:r>
      <w:r>
        <w:rPr>
          <w:rFonts w:ascii="PT Astra Serif" w:hAnsi="PT Astra Serif" w:cs="Times New Roman"/>
          <w:color w:val="000000"/>
          <w:sz w:val="28"/>
          <w:szCs w:val="28"/>
          <w:lang w:val="en-US"/>
        </w:rPr>
        <w:t> </w:t>
      </w:r>
      <w:r>
        <w:rPr>
          <w:rFonts w:ascii="PT Astra Serif" w:hAnsi="PT Astra Serif" w:cs="Times New Roman"/>
          <w:color w:val="000000"/>
          <w:sz w:val="28"/>
          <w:szCs w:val="28"/>
        </w:rPr>
        <w:t>нормативная цена единицы планируемого к приобретению препарата необходимого на 1 м</w:t>
      </w:r>
      <w:r>
        <w:rPr>
          <w:rFonts w:ascii="PT Astra Serif" w:hAnsi="PT Astra Serif" w:cs="Times New Roman"/>
          <w:color w:val="000000"/>
          <w:sz w:val="28"/>
          <w:szCs w:val="28"/>
          <w:vertAlign w:val="superscript"/>
        </w:rPr>
        <w:t>2</w:t>
      </w:r>
      <w:r>
        <w:rPr>
          <w:rFonts w:ascii="PT Astra Serif" w:hAnsi="PT Astra Serif" w:cs="Times New Roman"/>
          <w:color w:val="000000"/>
          <w:sz w:val="28"/>
          <w:szCs w:val="28"/>
        </w:rPr>
        <w:t>.</w:t>
      </w:r>
    </w:p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pStyle w:val="ListParagraph"/>
        <w:widowControl w:val="0"/>
        <w:spacing w:before="0" w:after="0" w:line="240" w:lineRule="auto"/>
        <w:ind w:left="0"/>
        <w:contextualSpacing/>
        <w:jc w:val="center"/>
        <w:rPr>
          <w:rFonts w:ascii="PT Astra Serif" w:eastAsia="Times New Roman" w:hAnsi="PT Astra Serif"/>
          <w:b w:val="0"/>
          <w:bCs w:val="0"/>
          <w:sz w:val="28"/>
          <w:szCs w:val="28"/>
        </w:rPr>
      </w:pPr>
      <w:r>
        <w:rPr>
          <w:rFonts w:ascii="PT Astra Serif" w:eastAsia="Times New Roman" w:hAnsi="PT Astra Serif"/>
          <w:b w:val="0"/>
          <w:bCs w:val="0"/>
          <w:sz w:val="28"/>
          <w:szCs w:val="28"/>
          <w:lang w:eastAsia="ru-RU"/>
        </w:rPr>
        <w:t>2. Затраты на информационно-коммуникационные технологии</w:t>
      </w:r>
    </w:p>
    <w:p>
      <w:pPr>
        <w:widowControl w:val="0"/>
        <w:tabs>
          <w:tab w:val="clear" w:pos="708"/>
          <w:tab w:val="left" w:pos="709"/>
          <w:tab w:val="left" w:pos="851"/>
          <w:tab w:val="left" w:pos="993"/>
        </w:tabs>
        <w:spacing w:before="0" w:after="0"/>
        <w:ind w:firstLine="851"/>
        <w:contextualSpacing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11. Затраты на услуги связи составляют:</w:t>
      </w:r>
    </w:p>
    <w:p>
      <w:pPr>
        <w:widowControl w:val="0"/>
        <w:spacing w:before="0" w:after="0"/>
        <w:ind w:firstLine="851"/>
        <w:contextualSpacing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з</w:t>
      </w:r>
      <w:r>
        <w:rPr>
          <w:rFonts w:ascii="PT Astra Serif" w:hAnsi="PT Astra Serif"/>
          <w:sz w:val="28"/>
          <w:szCs w:val="28"/>
        </w:rPr>
        <w:t>атраты на абонентскую плату (З</w:t>
      </w:r>
      <w:r>
        <w:rPr>
          <w:rFonts w:ascii="PT Astra Serif" w:hAnsi="PT Astra Serif"/>
          <w:sz w:val="28"/>
          <w:szCs w:val="28"/>
          <w:vertAlign w:val="subscript"/>
        </w:rPr>
        <w:t>аб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firstLine="851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2066925" cy="476250"/>
            <wp:effectExtent l="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iаб</w:t>
      </w:r>
      <w:r>
        <w:rPr>
          <w:rFonts w:ascii="PT Astra Serif" w:hAnsi="PT Astra Serif"/>
          <w:sz w:val="28"/>
          <w:szCs w:val="28"/>
        </w:rPr>
        <w:t xml:space="preserve"> - количество абонентских </w:t>
      </w:r>
      <w:r>
        <w:rPr>
          <w:rFonts w:ascii="PT Astra Serif" w:hAnsi="PT Astra Serif"/>
          <w:sz w:val="28"/>
          <w:szCs w:val="28"/>
        </w:rPr>
        <w:t>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платой, но не более 5 единиц;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  <w:vertAlign w:val="subscript"/>
        </w:rPr>
        <w:t>iаб</w:t>
      </w:r>
      <w:r>
        <w:rPr>
          <w:rFonts w:ascii="PT Astra Serif" w:hAnsi="PT Astra Serif"/>
          <w:sz w:val="28"/>
          <w:szCs w:val="28"/>
        </w:rPr>
        <w:t xml:space="preserve"> - ежемесячная i-я абонентская плата в расчете на один абонентский номер для передачи голосовой информации;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N</w:t>
      </w:r>
      <w:r>
        <w:rPr>
          <w:rFonts w:ascii="PT Astra Serif" w:hAnsi="PT Astra Serif"/>
          <w:sz w:val="28"/>
          <w:szCs w:val="28"/>
          <w:vertAlign w:val="subscript"/>
        </w:rPr>
        <w:t>iаб</w:t>
      </w:r>
      <w:r>
        <w:rPr>
          <w:rFonts w:ascii="PT Astra Serif" w:hAnsi="PT Astra Serif"/>
          <w:sz w:val="28"/>
          <w:szCs w:val="28"/>
        </w:rPr>
        <w:t xml:space="preserve"> - количество месяцев предоставления услуги с i-й абонентской платой.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Расчет производится в соответствии с нормативами согласно таблице 1 Приложения № 2 к настоящему приказу; 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затраты на повременную оплату местных, междугородних и международных телефонных соединений (З</w:t>
      </w:r>
      <w:r>
        <w:rPr>
          <w:rFonts w:ascii="PT Astra Serif" w:hAnsi="PT Astra Serif"/>
          <w:sz w:val="28"/>
          <w:szCs w:val="28"/>
          <w:vertAlign w:val="subscript"/>
        </w:rPr>
        <w:t>пов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5248275" cy="438150"/>
            <wp:effectExtent l="0" t="0" r="0" b="0"/>
            <wp:docPr id="5" name="Рисунок 58" descr="base_23643_95816_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8" descr="base_23643_95816_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4381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где: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g м</w:t>
      </w:r>
      <w:r>
        <w:rPr>
          <w:rFonts w:ascii="PT Astra Serif" w:hAnsi="PT Astra Serif"/>
          <w:sz w:val="28"/>
          <w:szCs w:val="28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S</w:t>
      </w:r>
      <w:r>
        <w:rPr>
          <w:rFonts w:ascii="PT Astra Serif" w:hAnsi="PT Astra Serif"/>
          <w:sz w:val="28"/>
          <w:szCs w:val="28"/>
          <w:vertAlign w:val="subscript"/>
        </w:rPr>
        <w:t>g м</w:t>
      </w:r>
      <w:r>
        <w:rPr>
          <w:rFonts w:ascii="PT Astra Serif" w:hAnsi="PT Astra Serif"/>
          <w:sz w:val="28"/>
          <w:szCs w:val="28"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g м</w:t>
      </w:r>
      <w:r>
        <w:rPr>
          <w:rFonts w:ascii="PT Astra Serif" w:hAnsi="PT Astra Serif"/>
          <w:sz w:val="28"/>
          <w:szCs w:val="28"/>
        </w:rPr>
        <w:t xml:space="preserve"> - цена минуты разговора при местных телефонных соединениях по g-му тарифу;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N</w:t>
      </w:r>
      <w:r>
        <w:rPr>
          <w:rFonts w:ascii="PT Astra Serif" w:hAnsi="PT Astra Serif"/>
          <w:sz w:val="28"/>
          <w:szCs w:val="28"/>
          <w:vertAlign w:val="subscript"/>
        </w:rPr>
        <w:t>g м</w:t>
      </w:r>
      <w:r>
        <w:rPr>
          <w:rFonts w:ascii="PT Astra Serif" w:hAnsi="PT Astra Serif"/>
          <w:sz w:val="28"/>
          <w:szCs w:val="28"/>
        </w:rPr>
        <w:t xml:space="preserve"> - количество месяцев предоставления услуги местной телефонной связи по g-му тарифу;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 мг</w:t>
      </w:r>
      <w:r>
        <w:rPr>
          <w:rFonts w:ascii="PT Astra Serif" w:hAnsi="PT Astra Serif"/>
          <w:sz w:val="28"/>
          <w:szCs w:val="28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S</w:t>
      </w:r>
      <w:r>
        <w:rPr>
          <w:rFonts w:ascii="PT Astra Serif" w:hAnsi="PT Astra Serif"/>
          <w:sz w:val="28"/>
          <w:szCs w:val="28"/>
          <w:vertAlign w:val="subscript"/>
        </w:rPr>
        <w:t>i мг</w:t>
      </w:r>
      <w:r>
        <w:rPr>
          <w:rFonts w:ascii="PT Astra Serif" w:hAnsi="PT Astra Serif"/>
          <w:sz w:val="28"/>
          <w:szCs w:val="28"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 мг</w:t>
      </w:r>
      <w:r>
        <w:rPr>
          <w:rFonts w:ascii="PT Astra Serif" w:hAnsi="PT Astra Serif"/>
          <w:sz w:val="28"/>
          <w:szCs w:val="28"/>
        </w:rPr>
        <w:t xml:space="preserve"> - цена минуты разговора при междугородних телефонных соединениях по i-му тарифу;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N</w:t>
      </w:r>
      <w:r>
        <w:rPr>
          <w:rFonts w:ascii="PT Astra Serif" w:hAnsi="PT Astra Serif"/>
          <w:sz w:val="28"/>
          <w:szCs w:val="28"/>
          <w:vertAlign w:val="subscript"/>
        </w:rPr>
        <w:t>i мг</w:t>
      </w:r>
      <w:r>
        <w:rPr>
          <w:rFonts w:ascii="PT Astra Serif" w:hAnsi="PT Astra Serif"/>
          <w:sz w:val="28"/>
          <w:szCs w:val="28"/>
        </w:rPr>
        <w:t xml:space="preserve"> - количество месяцев предоставления услуги междугородней телефонной связи по i-му тарифу;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 мг</w:t>
      </w:r>
      <w:r>
        <w:rPr>
          <w:rFonts w:ascii="PT Astra Serif" w:hAnsi="PT Astra Serif"/>
          <w:sz w:val="28"/>
          <w:szCs w:val="28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S</w:t>
      </w:r>
      <w:r>
        <w:rPr>
          <w:rFonts w:ascii="PT Astra Serif" w:hAnsi="PT Astra Serif"/>
          <w:sz w:val="28"/>
          <w:szCs w:val="28"/>
          <w:vertAlign w:val="subscript"/>
        </w:rPr>
        <w:t>jмн</w:t>
      </w:r>
      <w:r>
        <w:rPr>
          <w:rFonts w:ascii="PT Astra Serif" w:hAnsi="PT Astra Serif"/>
          <w:sz w:val="28"/>
          <w:szCs w:val="28"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jмн</w:t>
      </w:r>
      <w:r>
        <w:rPr>
          <w:rFonts w:ascii="PT Astra Serif" w:hAnsi="PT Astra Serif"/>
          <w:sz w:val="28"/>
          <w:szCs w:val="28"/>
        </w:rPr>
        <w:t xml:space="preserve"> - цена минуты разговора при международных телефонных соединениях по j-му тарифу;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N</w:t>
      </w:r>
      <w:r>
        <w:rPr>
          <w:rFonts w:ascii="PT Astra Serif" w:hAnsi="PT Astra Serif"/>
          <w:sz w:val="28"/>
          <w:szCs w:val="28"/>
          <w:vertAlign w:val="subscript"/>
        </w:rPr>
        <w:t>jмн</w:t>
      </w:r>
      <w:r>
        <w:rPr>
          <w:rFonts w:ascii="PT Astra Serif" w:hAnsi="PT Astra Serif"/>
          <w:sz w:val="28"/>
          <w:szCs w:val="28"/>
        </w:rPr>
        <w:t xml:space="preserve"> - количество месяцев предоставления услуги международной телефонной связи по j-му тарифу.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Расчет производится в соответствии с нормативами, установленными в таблице 2 Приложения № 2 к настоящему приказу;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 затраты на оплату услуг подвижной связи (З</w:t>
      </w:r>
      <w:r>
        <w:rPr>
          <w:rFonts w:ascii="PT Astra Serif" w:hAnsi="PT Astra Serif"/>
          <w:sz w:val="28"/>
          <w:szCs w:val="28"/>
          <w:vertAlign w:val="subscript"/>
        </w:rPr>
        <w:t>сот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2162175" cy="476250"/>
            <wp:effectExtent l="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 сот</w:t>
      </w:r>
      <w:r>
        <w:rPr>
          <w:rFonts w:ascii="PT Astra Serif" w:hAnsi="PT Astra Serif"/>
          <w:sz w:val="28"/>
          <w:szCs w:val="28"/>
        </w:rPr>
        <w:t xml:space="preserve"> - количество абонентских номеров пользовательского (оконеч</w:t>
      </w:r>
      <w:r>
        <w:rPr>
          <w:rFonts w:ascii="PT Astra Serif" w:hAnsi="PT Astra Serif"/>
          <w:sz w:val="28"/>
          <w:szCs w:val="28"/>
        </w:rPr>
        <w:t>ного) оборудования, подключенного к сети подвижной связи (далее - номер абонентской станции) по i-й должности в соответствии с нормативами, согласно таблице 3 Приложения № 2 с учетом нормативов обеспечения функций государственных органов Томской области, п</w:t>
      </w:r>
      <w:r>
        <w:rPr>
          <w:rFonts w:ascii="PT Astra Serif" w:hAnsi="PT Astra Serif"/>
          <w:sz w:val="28"/>
          <w:szCs w:val="28"/>
        </w:rPr>
        <w:t>рименяемых при расчете нормативных затрат на приобретение средств подвижной связи и услуг подвижной связи, предусмотренных приложением к правилам определения нормативных затрат на обеспечение функций государственных органов Томской области, органа управлен</w:t>
      </w:r>
      <w:r>
        <w:rPr>
          <w:rFonts w:ascii="PT Astra Serif" w:hAnsi="PT Astra Serif"/>
          <w:sz w:val="28"/>
          <w:szCs w:val="28"/>
        </w:rPr>
        <w:t>ия территориального фонда обязательного медицинского страхования Томской области (включая подведомственные казенные учреждения, утвержденные Постановлением Администрации Томской области от 30.12.2015 № 489а (далее – нормативы обеспечения средствами связи);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 сот</w:t>
      </w:r>
      <w:r>
        <w:rPr>
          <w:rFonts w:ascii="PT Astra Serif" w:hAnsi="PT Astra Serif"/>
          <w:sz w:val="28"/>
          <w:szCs w:val="28"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установленными в таблице 3 Приложения № 2 с учетом нормативов обеспечения средствами связи;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N</w:t>
      </w:r>
      <w:r>
        <w:rPr>
          <w:rFonts w:ascii="PT Astra Serif" w:hAnsi="PT Astra Serif"/>
          <w:sz w:val="28"/>
          <w:szCs w:val="28"/>
          <w:vertAlign w:val="subscript"/>
        </w:rPr>
        <w:t>i сот</w:t>
      </w:r>
      <w:r>
        <w:rPr>
          <w:rFonts w:ascii="PT Astra Serif" w:hAnsi="PT Astra Serif"/>
          <w:sz w:val="28"/>
          <w:szCs w:val="28"/>
        </w:rPr>
        <w:t xml:space="preserve"> - количество месяцев предоставления услуги подвижной связи</w:t>
        <w:br/>
        <w:t>по i-й должности.</w:t>
      </w:r>
    </w:p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pStyle w:val="ListParagraph"/>
        <w:widowControl w:val="0"/>
        <w:tabs>
          <w:tab w:val="left" w:pos="142"/>
          <w:tab w:val="clear" w:pos="708"/>
          <w:tab w:val="left" w:pos="851"/>
        </w:tabs>
        <w:spacing w:before="0" w:after="0" w:line="240" w:lineRule="auto"/>
        <w:ind w:left="0"/>
        <w:contextualSpacing/>
        <w:jc w:val="center"/>
        <w:rPr>
          <w:rFonts w:ascii="PT Astra Serif" w:eastAsia="Times New Roman" w:hAnsi="PT Astra Serif"/>
          <w:b w:val="0"/>
          <w:bCs w:val="0"/>
          <w:sz w:val="28"/>
          <w:szCs w:val="28"/>
        </w:rPr>
      </w:pPr>
      <w:r>
        <w:rPr>
          <w:rFonts w:ascii="PT Astra Serif" w:eastAsia="Times New Roman" w:hAnsi="PT Astra Serif"/>
          <w:b w:val="0"/>
          <w:bCs w:val="0"/>
          <w:sz w:val="28"/>
          <w:szCs w:val="28"/>
          <w:lang w:eastAsia="ru-RU"/>
        </w:rPr>
        <w:t>3. Затраты на содержание имущества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12. При определении затрат на техническое обслуживание и регламентно-профилактический ремонт учитываются </w:t>
      </w:r>
      <w:r>
        <w:rPr>
          <w:rFonts w:ascii="PT Astra Serif" w:hAnsi="PT Astra Serif"/>
          <w:sz w:val="28"/>
          <w:szCs w:val="28"/>
        </w:rPr>
        <w:t>работы по техническому обслуживанию и регламентно-профилактическому ремонту и нормативные трудозатраты на их выполнение, установленные в эксплуатационной документации или утвержденном регламенте выполнения таких работ.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13. Затраты на техническое обслуживание и регламентно-профилактический ремонт вычислительной техники (З</w:t>
      </w:r>
      <w:r>
        <w:rPr>
          <w:rFonts w:ascii="PT Astra Serif" w:hAnsi="PT Astra Serif"/>
          <w:sz w:val="28"/>
          <w:szCs w:val="28"/>
          <w:vertAlign w:val="subscript"/>
        </w:rPr>
        <w:t>рвт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714500" cy="476250"/>
            <wp:effectExtent l="0" t="0" r="0" b="0"/>
            <wp:docPr id="7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iрвт</w:t>
      </w:r>
      <w:r>
        <w:rPr>
          <w:rFonts w:ascii="PT Astra Serif" w:hAnsi="PT Astra Serif"/>
          <w:sz w:val="28"/>
          <w:szCs w:val="28"/>
        </w:rPr>
        <w:t xml:space="preserve"> - фактическое количество i-й вычислительной техники, но не более предельного количества i-й вычислительной техники, подлежащей техническому обслуживанию и регламентно-профилактическому ремонту в предыдущем финансовом году;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iрвт</w:t>
      </w:r>
      <w:r>
        <w:rPr>
          <w:rFonts w:ascii="PT Astra Serif" w:hAnsi="PT Astra Serif"/>
          <w:sz w:val="28"/>
          <w:szCs w:val="28"/>
        </w:rPr>
        <w:t xml:space="preserve"> -</w:t>
      </w:r>
      <w:r>
        <w:rPr>
          <w:rFonts w:ascii="PT Astra Serif" w:hAnsi="PT Astra Serif"/>
          <w:sz w:val="28"/>
          <w:szCs w:val="28"/>
        </w:rPr>
        <w:t xml:space="preserve"> цена технического обслуживания и регламентно-профилактического ремонта в расчете на одну i-ю вычислительную технику в год равна цене технического обслуживания и регламентно-профилактического ремонта i-й вычислительной техники в предыдущем финансовом году.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Предельное количество i-й вычислительной техники (Q</w:t>
      </w:r>
      <w:r>
        <w:rPr>
          <w:rFonts w:ascii="PT Astra Serif" w:hAnsi="PT Astra Serif"/>
          <w:sz w:val="28"/>
          <w:szCs w:val="28"/>
          <w:vertAlign w:val="subscript"/>
        </w:rPr>
        <w:t>iрвт предел</w:t>
      </w:r>
      <w:r>
        <w:rPr>
          <w:rFonts w:ascii="PT Astra Serif" w:hAnsi="PT Astra Serif"/>
          <w:sz w:val="28"/>
          <w:szCs w:val="28"/>
        </w:rPr>
        <w:t>) определяется с округлением до целого по следующим формулам: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iрвт предел</w:t>
      </w:r>
      <w:r>
        <w:rPr>
          <w:rFonts w:ascii="PT Astra Serif" w:hAnsi="PT Astra Serif"/>
          <w:sz w:val="28"/>
          <w:szCs w:val="28"/>
        </w:rPr>
        <w:t xml:space="preserve"> = Ч</w:t>
      </w:r>
      <w:r>
        <w:rPr>
          <w:rFonts w:ascii="PT Astra Serif" w:hAnsi="PT Astra Serif"/>
          <w:sz w:val="28"/>
          <w:szCs w:val="28"/>
          <w:vertAlign w:val="subscript"/>
        </w:rPr>
        <w:t>оп</w:t>
      </w:r>
      <w:r>
        <w:rPr>
          <w:rFonts w:ascii="PT Astra Serif" w:hAnsi="PT Astra Serif"/>
          <w:sz w:val="28"/>
          <w:szCs w:val="28"/>
        </w:rPr>
        <w:t xml:space="preserve"> x 0,2 - для закрытого контура обработки информации,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iрвт предел</w:t>
      </w:r>
      <w:r>
        <w:rPr>
          <w:rFonts w:ascii="PT Astra Serif" w:hAnsi="PT Astra Serif"/>
          <w:sz w:val="28"/>
          <w:szCs w:val="28"/>
        </w:rPr>
        <w:t xml:space="preserve"> = Ч</w:t>
      </w:r>
      <w:r>
        <w:rPr>
          <w:rFonts w:ascii="PT Astra Serif" w:hAnsi="PT Astra Serif"/>
          <w:sz w:val="28"/>
          <w:szCs w:val="28"/>
          <w:vertAlign w:val="subscript"/>
        </w:rPr>
        <w:t>оп</w:t>
      </w:r>
      <w:r>
        <w:rPr>
          <w:rFonts w:ascii="PT Astra Serif" w:hAnsi="PT Astra Serif"/>
          <w:sz w:val="28"/>
          <w:szCs w:val="28"/>
        </w:rPr>
        <w:t xml:space="preserve"> x 1 - для открытого контура обработки информации, где: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</w:t>
      </w:r>
      <w:r>
        <w:rPr>
          <w:rFonts w:ascii="PT Astra Serif" w:hAnsi="PT Astra Serif"/>
          <w:sz w:val="28"/>
          <w:szCs w:val="28"/>
          <w:vertAlign w:val="subscript"/>
        </w:rPr>
        <w:t>оп</w:t>
      </w:r>
      <w:r>
        <w:rPr>
          <w:rFonts w:ascii="PT Astra Serif" w:hAnsi="PT Astra Serif"/>
          <w:sz w:val="28"/>
          <w:szCs w:val="28"/>
        </w:rPr>
        <w:t xml:space="preserve"> - расчетная численность основных работников, определяемая в соответствии с п. 7 настоящих нормативных затрат.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14. Затраты на техническое обслуживание и регламентно-профилактический ремонт оборудования по обеспечению безопасности информации (З</w:t>
      </w:r>
      <w:r>
        <w:rPr>
          <w:rFonts w:ascii="PT Astra Serif" w:hAnsi="PT Astra Serif"/>
          <w:sz w:val="28"/>
          <w:szCs w:val="28"/>
          <w:vertAlign w:val="subscript"/>
        </w:rPr>
        <w:t>сби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714500" cy="476250"/>
            <wp:effectExtent l="0" t="0" r="0" b="0"/>
            <wp:docPr id="8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iсби</w:t>
      </w:r>
      <w:r>
        <w:rPr>
          <w:rFonts w:ascii="PT Astra Serif" w:hAnsi="PT Astra Serif"/>
          <w:sz w:val="28"/>
          <w:szCs w:val="28"/>
        </w:rPr>
        <w:t xml:space="preserve"> - количество единиц i-го оборудования по обеспечению безопасности информации, подлежащих техническому обслуживанию и регламентно-профилактическому ремонту в предыдущем финансовом году;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iсби</w:t>
      </w:r>
      <w:r>
        <w:rPr>
          <w:rFonts w:ascii="PT Astra Serif" w:hAnsi="PT Astra Serif"/>
          <w:sz w:val="28"/>
          <w:szCs w:val="28"/>
        </w:rPr>
        <w:t xml:space="preserve"> - цена технического обслуживания и регламентно-профилактического ремонта одной единицы i-го оборудования в год, равна цене технического обслуживания и регламентно-профилактического ремонта одной единицы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>-го оборудования в предыдущем финансовом году.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15.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>
        <w:rPr>
          <w:rFonts w:ascii="PT Astra Serif" w:hAnsi="PT Astra Serif"/>
          <w:sz w:val="28"/>
          <w:szCs w:val="28"/>
          <w:vertAlign w:val="subscript"/>
        </w:rPr>
        <w:t>стс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657350" cy="476250"/>
            <wp:effectExtent l="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iстс</w:t>
      </w:r>
      <w:r>
        <w:rPr>
          <w:rFonts w:ascii="PT Astra Serif" w:hAnsi="PT Astra Serif"/>
          <w:sz w:val="28"/>
          <w:szCs w:val="28"/>
        </w:rPr>
        <w:t xml:space="preserve"> - количество автоматизированных телефонных станций i-го вида, подлежащих техническому обслуживанию и регламентно-профилактическому ремонту в предыдущем финансовом году;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iстс</w:t>
      </w:r>
      <w:r>
        <w:rPr>
          <w:rFonts w:ascii="PT Astra Serif" w:hAnsi="PT Astra Serif"/>
          <w:sz w:val="28"/>
          <w:szCs w:val="28"/>
        </w:rPr>
        <w:t xml:space="preserve"> - цена технического обслуживания и ре</w:t>
      </w:r>
      <w:r>
        <w:rPr>
          <w:rFonts w:ascii="PT Astra Serif" w:hAnsi="PT Astra Serif"/>
          <w:sz w:val="28"/>
          <w:szCs w:val="28"/>
        </w:rPr>
        <w:t>гламентно-профилактического ремонта одной автоматизированной телефонной станции</w:t>
        <w:br/>
        <w:t>i-го вида в год равна цене технического обслуживания и регламентно-профилактического ремонта одной автоматизированной телефонной станции</w:t>
        <w:br/>
        <w:t>i-го вида в предыдущем финансовом году.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16. Затраты на техническое обслуживание и регламентно-профилактический ремонт локальных вычислительных сетей (З</w:t>
      </w:r>
      <w:r>
        <w:rPr>
          <w:rFonts w:ascii="PT Astra Serif" w:hAnsi="PT Astra Serif"/>
          <w:sz w:val="28"/>
          <w:szCs w:val="28"/>
          <w:vertAlign w:val="subscript"/>
        </w:rPr>
        <w:t>лвс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714500" cy="476250"/>
            <wp:effectExtent l="0" t="0" r="0" b="0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iлвс</w:t>
      </w:r>
      <w:r>
        <w:rPr>
          <w:rFonts w:ascii="PT Astra Serif" w:hAnsi="PT Astra Serif"/>
          <w:sz w:val="28"/>
          <w:szCs w:val="28"/>
        </w:rPr>
        <w:t xml:space="preserve"> - количество устройств локальных вычислительных сетей i-го вида, подлежащих техническому обслуживанию и регламентно-профилактическому ремонту в предыдущем финансовом году;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iлвс</w:t>
      </w:r>
      <w:r>
        <w:rPr>
          <w:rFonts w:ascii="PT Astra Serif" w:hAnsi="PT Astra Serif"/>
          <w:sz w:val="28"/>
          <w:szCs w:val="28"/>
        </w:rPr>
        <w:t xml:space="preserve"> - цена т</w:t>
      </w:r>
      <w:r>
        <w:rPr>
          <w:rFonts w:ascii="PT Astra Serif" w:hAnsi="PT Astra Serif"/>
          <w:sz w:val="28"/>
          <w:szCs w:val="28"/>
        </w:rPr>
        <w:t xml:space="preserve">ехнического обслуживания и регламентно-профилактического ремонта одного устройства локальных вычислительных сетей i-го вида в год равна цене технического обслуживания и регламентно-профилактического ремонта одного устройства локальных вычислительных сетей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>-го вида в предыдущем финансовом году.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17. Затраты на техническое обслуживание и регламентно-профилактический ремонт систем бесперебойного питания (З</w:t>
      </w:r>
      <w:r>
        <w:rPr>
          <w:rFonts w:ascii="PT Astra Serif" w:hAnsi="PT Astra Serif"/>
          <w:sz w:val="28"/>
          <w:szCs w:val="28"/>
          <w:vertAlign w:val="subscript"/>
        </w:rPr>
        <w:t>сбп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714500" cy="476250"/>
            <wp:effectExtent l="0" t="0" r="0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iспб</w:t>
      </w:r>
      <w:r>
        <w:rPr>
          <w:rFonts w:ascii="PT Astra Serif" w:hAnsi="PT Astra Serif"/>
          <w:sz w:val="28"/>
          <w:szCs w:val="28"/>
        </w:rPr>
        <w:t xml:space="preserve"> - количество модулей бесперебойного питания i-го вида, подлежащих техническому обслуживанию и регламентно-профилактическому ремонту в предыдущем финансовом году;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iспб</w:t>
      </w:r>
      <w:r>
        <w:rPr>
          <w:rFonts w:ascii="PT Astra Serif" w:hAnsi="PT Astra Serif"/>
          <w:sz w:val="28"/>
          <w:szCs w:val="28"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 равна цене технического обслуживания и регламентно-профилактического ремонта одного модуля бесперебойного питания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>-го вида в предыдущем финансовом году.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18. Затраты 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 (З</w:t>
      </w:r>
      <w:r>
        <w:rPr>
          <w:rFonts w:ascii="PT Astra Serif" w:hAnsi="PT Astra Serif"/>
          <w:sz w:val="28"/>
          <w:szCs w:val="28"/>
          <w:vertAlign w:val="subscript"/>
        </w:rPr>
        <w:t>рпм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762125" cy="476250"/>
            <wp:effectExtent l="0" t="0" r="0" b="0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iрпм</w:t>
      </w:r>
      <w:r>
        <w:rPr>
          <w:rFonts w:ascii="PT Astra Serif" w:hAnsi="PT Astra Serif"/>
          <w:sz w:val="28"/>
          <w:szCs w:val="28"/>
        </w:rPr>
        <w:t xml:space="preserve"> - количество i-х принтеров, многофункциональных устройств, копировальных аппаратов и иной оргтехники в соответствии с нормативами согласно таблице 4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iрпм</w:t>
      </w:r>
      <w:r>
        <w:rPr>
          <w:rFonts w:ascii="PT Astra Serif" w:hAnsi="PT Astra Serif"/>
          <w:sz w:val="28"/>
          <w:szCs w:val="28"/>
        </w:rPr>
        <w:t xml:space="preserve"> - цена технического обслуживания и регламентно-профилактического ремонта i-х принтеров</w:t>
      </w:r>
      <w:r>
        <w:rPr>
          <w:rFonts w:ascii="PT Astra Serif" w:hAnsi="PT Astra Serif"/>
          <w:sz w:val="28"/>
          <w:szCs w:val="28"/>
        </w:rPr>
        <w:t>, многофункциональных устройств, копировальных аппаратов и иной оргтехники в год равна цене технического обслуживания и регламентно-профилактического ремонта i-х принтеров, многофункциональных устройств и копировальных аппаратов (оргтехники) в предыдущем ф</w:t>
      </w:r>
      <w:r>
        <w:rPr>
          <w:rFonts w:ascii="PT Astra Serif" w:hAnsi="PT Astra Serif"/>
          <w:sz w:val="28"/>
          <w:szCs w:val="28"/>
        </w:rPr>
        <w:t xml:space="preserve">инансовом году, в соответствии с нормативами согласно таблице 4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.</w:t>
      </w:r>
    </w:p>
    <w:p>
      <w:pPr>
        <w:widowControl w:val="0"/>
        <w:spacing w:before="0" w:after="0"/>
        <w:contextualSpacing/>
        <w:jc w:val="both"/>
        <w:rPr>
          <w:sz w:val="28"/>
          <w:szCs w:val="28"/>
          <w:highlight w:val="none"/>
        </w:rPr>
      </w:pP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 xml:space="preserve">4. Затраты на приобретение прочих работ и услуг, </w:t>
        <w:br/>
        <w:t>не относящиеся к затратам на услуги связи, аренду и содержание имущества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19.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>
        <w:rPr>
          <w:rFonts w:ascii="PT Astra Serif" w:hAnsi="PT Astra Serif"/>
          <w:sz w:val="28"/>
          <w:szCs w:val="28"/>
          <w:vertAlign w:val="subscript"/>
        </w:rPr>
        <w:t>спо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спо</w:t>
      </w:r>
      <w:r>
        <w:rPr>
          <w:rFonts w:ascii="PT Astra Serif" w:hAnsi="PT Astra Serif"/>
          <w:sz w:val="28"/>
          <w:szCs w:val="28"/>
        </w:rPr>
        <w:t xml:space="preserve"> = З</w:t>
      </w:r>
      <w:r>
        <w:rPr>
          <w:rFonts w:ascii="PT Astra Serif" w:hAnsi="PT Astra Serif"/>
          <w:sz w:val="28"/>
          <w:szCs w:val="28"/>
          <w:vertAlign w:val="subscript"/>
        </w:rPr>
        <w:t>сспс</w:t>
      </w:r>
      <w:r>
        <w:rPr>
          <w:rFonts w:ascii="PT Astra Serif" w:hAnsi="PT Astra Serif"/>
          <w:sz w:val="28"/>
          <w:szCs w:val="28"/>
        </w:rPr>
        <w:t xml:space="preserve"> + З</w:t>
      </w:r>
      <w:r>
        <w:rPr>
          <w:rFonts w:ascii="PT Astra Serif" w:hAnsi="PT Astra Serif"/>
          <w:sz w:val="28"/>
          <w:szCs w:val="28"/>
          <w:vertAlign w:val="subscript"/>
        </w:rPr>
        <w:t>сип</w:t>
      </w:r>
      <w:r>
        <w:rPr>
          <w:rFonts w:ascii="PT Astra Serif" w:hAnsi="PT Astra Serif"/>
          <w:sz w:val="28"/>
          <w:szCs w:val="28"/>
        </w:rPr>
        <w:t>, где:</w:t>
      </w:r>
    </w:p>
    <w:p>
      <w:pPr>
        <w:widowControl w:val="0"/>
        <w:spacing w:before="0" w:after="0"/>
        <w:ind w:firstLine="851"/>
        <w:contextualSpacing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сспс</w:t>
      </w:r>
      <w:r>
        <w:rPr>
          <w:rFonts w:ascii="PT Astra Serif" w:hAnsi="PT Astra Serif"/>
          <w:sz w:val="28"/>
          <w:szCs w:val="28"/>
        </w:rPr>
        <w:t xml:space="preserve"> - затраты на оплату услуг по сопровождению справочно-правовых систем;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сип</w:t>
      </w:r>
      <w:r>
        <w:rPr>
          <w:rFonts w:ascii="PT Astra Serif" w:hAnsi="PT Astra Serif"/>
          <w:sz w:val="28"/>
          <w:szCs w:val="28"/>
        </w:rPr>
        <w:t xml:space="preserve"> - затраты на оплату услуг по сопровождению и приобретению иного программного обеспечения.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затраты на оплату услуг по сопровождению справочно-правовых систем (З</w:t>
      </w:r>
      <w:r>
        <w:rPr>
          <w:rFonts w:ascii="PT Astra Serif" w:hAnsi="PT Astra Serif"/>
          <w:sz w:val="28"/>
          <w:szCs w:val="28"/>
          <w:vertAlign w:val="subscript"/>
        </w:rPr>
        <w:t>сспс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333500" cy="476250"/>
            <wp:effectExtent l="0" t="0" r="0" b="0"/>
            <wp:docPr id="1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  <w:vertAlign w:val="subscript"/>
        </w:rPr>
        <w:t>сспс</w:t>
      </w:r>
      <w:r>
        <w:rPr>
          <w:rFonts w:ascii="PT Astra Serif" w:hAnsi="PT Astra Serif"/>
          <w:sz w:val="28"/>
          <w:szCs w:val="28"/>
        </w:rPr>
        <w:t xml:space="preserve"> - цена сопровождения i-й справочно-правовой системы, определяемая согласно перечню работ по сопровожден</w:t>
      </w:r>
      <w:r>
        <w:rPr>
          <w:rFonts w:ascii="PT Astra Serif" w:hAnsi="PT Astra Serif"/>
          <w:sz w:val="28"/>
          <w:szCs w:val="28"/>
        </w:rPr>
        <w:t xml:space="preserve">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систем, но не более 100 000,00 рублей в год за каждую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>-й справочно-правовую систему;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</w:t>
      </w:r>
      <w:r>
        <w:rPr>
          <w:rFonts w:ascii="PT Astra Serif" w:hAnsi="PT Astra Serif"/>
          <w:sz w:val="28"/>
          <w:szCs w:val="28"/>
        </w:rPr>
        <w:t> затраты на оплату услуг по сопровождению и приобретению иного программного обеспечения («1С», СБИС) (З</w:t>
      </w:r>
      <w:r>
        <w:rPr>
          <w:rFonts w:ascii="PT Astra Serif" w:hAnsi="PT Astra Serif"/>
          <w:sz w:val="28"/>
          <w:szCs w:val="28"/>
          <w:vertAlign w:val="subscript"/>
        </w:rPr>
        <w:t>сип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905000" cy="485775"/>
            <wp:effectExtent l="0" t="0" r="0" b="0"/>
            <wp:docPr id="1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gипо</w:t>
      </w:r>
      <w:r>
        <w:rPr>
          <w:rFonts w:ascii="PT Astra Serif" w:hAnsi="PT Astra Serif"/>
          <w:sz w:val="28"/>
          <w:szCs w:val="28"/>
        </w:rP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</w:t>
      </w:r>
      <w:r>
        <w:rPr>
          <w:rFonts w:ascii="PT Astra Serif" w:hAnsi="PT Astra Serif"/>
          <w:sz w:val="28"/>
          <w:szCs w:val="28"/>
        </w:rPr>
        <w:t xml:space="preserve">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 в предыдущем финансовом году;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jпнл</w:t>
      </w:r>
      <w:r>
        <w:rPr>
          <w:rFonts w:ascii="PT Astra Serif" w:hAnsi="PT Astra Serif"/>
          <w:sz w:val="28"/>
          <w:szCs w:val="28"/>
        </w:rPr>
        <w:t xml:space="preserve"> - цена простых (неиск</w:t>
      </w:r>
      <w:r>
        <w:rPr>
          <w:rFonts w:ascii="PT Astra Serif" w:hAnsi="PT Astra Serif"/>
          <w:sz w:val="28"/>
          <w:szCs w:val="28"/>
        </w:rPr>
        <w:t>лючительных) лицензий на использование программного обеспечения на j-е программное обеспечение, за исключением справочно-правовых систем, равна цене простых (неисключительных) лицензий на использование программного обеспечения в предыдущем финансовом году.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20. Затраты на приобретение (продление) простых (неисключительных) лицензий на использование программного обеспечения, в том числе по защите информации (З</w:t>
      </w:r>
      <w:r>
        <w:rPr>
          <w:rFonts w:ascii="PT Astra Serif" w:hAnsi="PT Astra Serif"/>
          <w:sz w:val="28"/>
          <w:szCs w:val="28"/>
          <w:vertAlign w:val="subscript"/>
        </w:rPr>
        <w:t>нп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hanging="142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590675" cy="476250"/>
            <wp:effectExtent l="0" t="0" r="0" b="0"/>
            <wp:docPr id="1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iнп</w:t>
      </w:r>
      <w:r>
        <w:rPr>
          <w:rFonts w:ascii="PT Astra Serif" w:hAnsi="PT Astra Serif"/>
          <w:sz w:val="28"/>
          <w:szCs w:val="28"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 в соответствии с нормативами, определенными в таблице 25 приложения к настоящему порядку;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iнп</w:t>
      </w:r>
      <w:r>
        <w:rPr>
          <w:rFonts w:ascii="PT Astra Serif" w:hAnsi="PT Astra Serif"/>
          <w:sz w:val="28"/>
          <w:szCs w:val="28"/>
        </w:rPr>
        <w:t xml:space="preserve"> - цена единицы простой (неисключительной) лицензии на использование i-го программного обеспечения по защите информации, информации в соответствии с нормативами, определенными в таблице 25 приложения к настоящему порядку.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 xml:space="preserve">21. Затраты на оказание услуг почтовой связи определяются в соответствии с тарифами на услуги </w:t>
      </w:r>
      <w:r>
        <w:rPr>
          <w:rFonts w:ascii="PT Astra Serif" w:hAnsi="PT Astra Serif" w:cs="Arial"/>
          <w:sz w:val="28"/>
          <w:szCs w:val="28"/>
        </w:rPr>
        <w:t>по подготовке, обработке и возврату почтовых отправлений, утвержденными приказом УФПС Томской области – филиалом ФГУП «Почта России», но не более 60 000,00 руб. в год в соответствии с нормативами, определенными в таблице 23 приложения к настоящему Порядку.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22. Затраты на оказание услуг на сопровождение программы «1С Камин»), не более 20000,00 руб. в год.</w:t>
      </w:r>
    </w:p>
    <w:p>
      <w:pPr>
        <w:widowControl w:val="0"/>
        <w:spacing w:before="0" w:after="0"/>
        <w:ind w:firstLine="851"/>
        <w:contextualSpacing/>
        <w:jc w:val="center"/>
        <w:rPr>
          <w:rFonts w:ascii="PT Astra Serif" w:hAnsi="PT Astra Serif"/>
          <w:b w:val="0"/>
          <w:bCs w:val="0"/>
          <w:sz w:val="28"/>
          <w:szCs w:val="28"/>
        </w:rPr>
      </w:pP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>5. Затраты на приобретение основных средств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23. Затраты на приобретение принтеров, многофункциональных устройств и копировальных аппаратов (оргтехники) (З</w:t>
      </w:r>
      <w:r>
        <w:rPr>
          <w:rFonts w:ascii="PT Astra Serif" w:hAnsi="PT Astra Serif"/>
          <w:sz w:val="28"/>
          <w:szCs w:val="28"/>
          <w:vertAlign w:val="subscript"/>
        </w:rPr>
        <w:t>пм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 w:cs="Calibri"/>
          <w:sz w:val="28"/>
          <w:szCs w:val="28"/>
        </w:rPr>
      </w:pPr>
      <w:r>
        <w:drawing>
          <wp:inline distT="0" distB="0" distL="0" distR="0">
            <wp:extent cx="1626870" cy="467995"/>
            <wp:effectExtent l="0" t="0" r="0" b="0"/>
            <wp:docPr id="16" name="Рисунок 50" descr="base_23643_100669_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50" descr="base_23643_100669_9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46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 пм</w:t>
      </w:r>
      <w:r>
        <w:rPr>
          <w:rFonts w:ascii="PT Astra Serif" w:hAnsi="PT Astra Serif"/>
          <w:sz w:val="28"/>
          <w:szCs w:val="28"/>
        </w:rPr>
        <w:t xml:space="preserve"> - количество принтеров, многофункциональных устройств, копировальных аппаратов и иной оргтехники по i-й должности в соответствии с нормативами, определенными в таблице 5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 пм</w:t>
      </w:r>
      <w:r>
        <w:rPr>
          <w:rFonts w:ascii="PT Astra Serif" w:hAnsi="PT Astra Serif"/>
          <w:sz w:val="28"/>
          <w:szCs w:val="28"/>
        </w:rPr>
        <w:t xml:space="preserve"> - цена одного i-го типа принтера, многофункционального устройства, копировального аппарата и иной оргтехники в соответствии с нормативами, установленными в таблице 5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 xml:space="preserve">. 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24. Затраты на приобретение средств подвижной связи (З</w:t>
      </w:r>
      <w:r>
        <w:rPr>
          <w:rFonts w:ascii="PT Astra Serif" w:hAnsi="PT Astra Serif"/>
          <w:sz w:val="28"/>
          <w:szCs w:val="28"/>
          <w:vertAlign w:val="subscript"/>
        </w:rPr>
        <w:t>прсот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2000250" cy="476250"/>
            <wp:effectExtent l="0" t="0" r="0" b="0"/>
            <wp:docPr id="17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7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iпрсот</w:t>
      </w:r>
      <w:r>
        <w:rPr>
          <w:rFonts w:ascii="PT Astra Serif" w:hAnsi="PT Astra Serif"/>
          <w:sz w:val="28"/>
          <w:szCs w:val="28"/>
        </w:rPr>
        <w:t xml:space="preserve"> - количество средств подвижной связи по i-й должности в соответствии с нормативами, установленными в таблице 3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, с учетом нормативов затрат на обеспечение средствами связи;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iпрсот</w:t>
      </w:r>
      <w:r>
        <w:rPr>
          <w:rFonts w:ascii="PT Astra Serif" w:hAnsi="PT Astra Serif"/>
          <w:sz w:val="28"/>
          <w:szCs w:val="28"/>
        </w:rPr>
        <w:t xml:space="preserve"> - стоимость одного средства подвижной связи для i-й должности в соответствии с нормативами, установленными в таблице 3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, с учетом нормативов затрат на обеспечение средствами связи.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25. Затраты на приобретение оборудования по обеспечению безопасности информации (З</w:t>
      </w:r>
      <w:r>
        <w:rPr>
          <w:rFonts w:ascii="PT Astra Serif" w:hAnsi="PT Astra Serif"/>
          <w:sz w:val="28"/>
          <w:szCs w:val="28"/>
          <w:vertAlign w:val="subscript"/>
        </w:rPr>
        <w:t>обин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905000" cy="476250"/>
            <wp:effectExtent l="0" t="0" r="0" b="0"/>
            <wp:docPr id="18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7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iобин</w:t>
      </w:r>
      <w:r>
        <w:rPr>
          <w:rFonts w:ascii="PT Astra Serif" w:hAnsi="PT Astra Serif"/>
          <w:sz w:val="28"/>
          <w:szCs w:val="28"/>
        </w:rPr>
        <w:t xml:space="preserve"> - количество i-го оборудования по обеспечению безопасности информации равно количеству приобретенного оборудования по обеспечению безопасности информации в предыдущем финансовом году;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iобин</w:t>
      </w:r>
      <w:r>
        <w:rPr>
          <w:rFonts w:ascii="PT Astra Serif" w:hAnsi="PT Astra Serif"/>
          <w:sz w:val="28"/>
          <w:szCs w:val="28"/>
        </w:rPr>
        <w:t xml:space="preserve"> - цена приобретаемого i-го оборудования по обеспечению безопасности информации равна цене приобретенного оборудования по обеспечению безопасности информации в предыдущем финансовом году.</w:t>
      </w:r>
    </w:p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 xml:space="preserve">6. Затраты на приобретение материальных запасов в сфере </w:t>
      </w: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>информационно-коммуникационных технологий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26. Затраты на приобретение мониторов (З</w:t>
      </w:r>
      <w:r>
        <w:rPr>
          <w:rFonts w:ascii="PT Astra Serif" w:hAnsi="PT Astra Serif"/>
          <w:sz w:val="28"/>
          <w:szCs w:val="28"/>
          <w:vertAlign w:val="subscript"/>
        </w:rPr>
        <w:t>мон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hanging="142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752600" cy="476250"/>
            <wp:effectExtent l="0" t="0" r="0" b="0"/>
            <wp:docPr id="19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7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599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iмон</w:t>
      </w:r>
      <w:r>
        <w:rPr>
          <w:rFonts w:ascii="PT Astra Serif" w:hAnsi="PT Astra Serif"/>
          <w:sz w:val="28"/>
          <w:szCs w:val="28"/>
        </w:rPr>
        <w:t xml:space="preserve"> - количество мониторов для i-й должности в соответствии с нормативами, установленными в таблице 6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iмон</w:t>
      </w:r>
      <w:r>
        <w:rPr>
          <w:rFonts w:ascii="PT Astra Serif" w:hAnsi="PT Astra Serif"/>
          <w:sz w:val="28"/>
          <w:szCs w:val="28"/>
        </w:rPr>
        <w:t xml:space="preserve"> - цена одного монитора для i-й должности в соответствии с нормативами, установленными в таблице 6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 xml:space="preserve">. 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27. Затраты на приобретение системных блоков (З</w:t>
      </w:r>
      <w:r>
        <w:rPr>
          <w:rFonts w:ascii="PT Astra Serif" w:hAnsi="PT Astra Serif"/>
          <w:sz w:val="28"/>
          <w:szCs w:val="28"/>
          <w:vertAlign w:val="subscript"/>
        </w:rPr>
        <w:t>сб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552575" cy="476250"/>
            <wp:effectExtent l="0" t="0" r="0" b="0"/>
            <wp:docPr id="20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7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iсб</w:t>
      </w:r>
      <w:r>
        <w:rPr>
          <w:rFonts w:ascii="PT Astra Serif" w:hAnsi="PT Astra Serif"/>
          <w:sz w:val="28"/>
          <w:szCs w:val="28"/>
        </w:rPr>
        <w:t xml:space="preserve"> - количество i-х системных блоков в соответствии с нормативами, установленными в таблице 6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iсб</w:t>
      </w:r>
      <w:r>
        <w:rPr>
          <w:rFonts w:ascii="PT Astra Serif" w:hAnsi="PT Astra Serif"/>
          <w:sz w:val="28"/>
          <w:szCs w:val="28"/>
        </w:rPr>
        <w:t xml:space="preserve"> - цена одного i-го системного блока в соответствии с нормативами, установленными в таблице 6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28. Затраты на приобретение ноутбуков (З</w:t>
      </w:r>
      <w:r>
        <w:rPr>
          <w:rFonts w:ascii="PT Astra Serif" w:hAnsi="PT Astra Serif"/>
          <w:sz w:val="28"/>
          <w:szCs w:val="28"/>
          <w:vertAlign w:val="subscript"/>
        </w:rPr>
        <w:t>н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/>
                </w:rPr>
                <m:t>з</m:t>
              </m:r>
            </m:e>
            <m:sub>
              <m:r>
                <w:rPr>
                  <w:rFonts w:ascii="Cambria Math" w:hAnsi="Cambria Math"/>
                </w:rPr>
                <m:t>н</m:t>
              </m:r>
            </m:sub>
          </m:sSub>
          <m:r>
            <m:rPr>
              <m:lit/>
              <m:nor/>
            </m:rPr>
            <w:rPr>
              <w:rFonts w:ascii="Cambria Math" w:hAnsi="Cambria Math"/>
            </w:rPr>
            <m:t>=</m:t>
          </m:r>
          <m:nary>
            <m:naryPr>
              <m:chr m:val="∑"/>
            </m:naryPr>
            <m:sub>
              <m:r>
                <w:rPr>
                  <w:rFonts w:ascii="Cambria Math" w:hAnsi="Cambria Math"/>
                </w:rPr>
                <m:t>i</m:t>
              </m:r>
              <m:r>
                <m:rPr>
                  <m:lit/>
                  <m:nor/>
                </m:rP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</w:rPr>
                <m:t>1</m:t>
              </m:r>
            </m:sub>
            <m:sup>
              <m:r>
                <w:rPr>
                  <w:rFonts w:ascii="Cambria Math" w:hAnsi="Cambria Math"/>
                </w:rPr>
                <m:t>n</m:t>
              </m:r>
            </m:sup>
            <m:e>
              <m:sSub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iн</m:t>
                  </m:r>
                </m:sub>
              </m:sSub>
              <m:r>
                <w:rPr>
                  <w:rFonts w:ascii="Cambria Math" w:hAnsi="Cambria Math"/>
                </w:rPr>
                <m:t>×</m:t>
              </m:r>
              <m:sSub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iн</m:t>
                  </m:r>
                </m:sub>
              </m:sSub>
              <m:r>
                <w:rPr>
                  <w:rFonts w:ascii="Cambria Math" w:hAnsi="Cambria Math"/>
                </w:rPr>
                <m:t>,</m:t>
              </m:r>
              <m:r>
                <w:rPr>
                  <w:rFonts w:ascii="Cambria Math" w:hAnsi="Cambria Math"/>
                </w:rPr>
                <m:t>где</m:t>
              </m:r>
            </m:e>
          </m:nary>
        </m:oMath>
      </m:oMathPara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iсб</w:t>
      </w:r>
      <w:r>
        <w:rPr>
          <w:rFonts w:ascii="PT Astra Serif" w:hAnsi="PT Astra Serif"/>
          <w:sz w:val="28"/>
          <w:szCs w:val="28"/>
        </w:rPr>
        <w:t xml:space="preserve"> - количество i-х ноутбуков в соответствии с нормативами, установленными в таблице 6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iсб</w:t>
      </w:r>
      <w:r>
        <w:rPr>
          <w:rFonts w:ascii="PT Astra Serif" w:hAnsi="PT Astra Serif"/>
          <w:sz w:val="28"/>
          <w:szCs w:val="28"/>
        </w:rPr>
        <w:t xml:space="preserve"> - цена одного i-го ноутбуков в соответствии с нормативами, установленными в таблице 6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29. Затраты на приобретение других запасных частей для вычислительной техники (З</w:t>
      </w:r>
      <w:r>
        <w:rPr>
          <w:rFonts w:ascii="PT Astra Serif" w:hAnsi="PT Astra Serif"/>
          <w:sz w:val="28"/>
          <w:szCs w:val="28"/>
          <w:vertAlign w:val="subscript"/>
        </w:rPr>
        <w:t>двт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714500" cy="476250"/>
            <wp:effectExtent l="0" t="0" r="0" b="0"/>
            <wp:docPr id="21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7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iдвт</w:t>
      </w:r>
      <w:r>
        <w:rPr>
          <w:rFonts w:ascii="PT Astra Serif" w:hAnsi="PT Astra Serif"/>
          <w:sz w:val="28"/>
          <w:szCs w:val="28"/>
        </w:rPr>
        <w:t xml:space="preserve"> –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iдвт</w:t>
      </w:r>
      <w:r>
        <w:rPr>
          <w:rFonts w:ascii="PT Astra Serif" w:hAnsi="PT Astra Serif"/>
          <w:sz w:val="28"/>
          <w:szCs w:val="28"/>
        </w:rPr>
        <w:t xml:space="preserve"> – цена одной единицы i-й запасной части для вычислительной техники.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Расчет производится в соответствии с нормативами, установленными в таблице 7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30. Затраты на приобретение носителей информации, в том числе магнитных и оптических носителей информации (З</w:t>
      </w:r>
      <w:r>
        <w:rPr>
          <w:rFonts w:ascii="PT Astra Serif" w:hAnsi="PT Astra Serif"/>
          <w:sz w:val="28"/>
          <w:szCs w:val="28"/>
          <w:vertAlign w:val="subscript"/>
        </w:rPr>
        <w:t>мн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619250" cy="476250"/>
            <wp:effectExtent l="0" t="0" r="0" b="0"/>
            <wp:docPr id="22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8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iмн</w:t>
      </w:r>
      <w:r>
        <w:rPr>
          <w:rFonts w:ascii="PT Astra Serif" w:hAnsi="PT Astra Serif"/>
          <w:sz w:val="28"/>
          <w:szCs w:val="28"/>
        </w:rPr>
        <w:t xml:space="preserve"> – количество носителей информации по i-й должности в соответствии с нормативами, установленными в таблице 8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iмн</w:t>
      </w:r>
      <w:r>
        <w:rPr>
          <w:rFonts w:ascii="PT Astra Serif" w:hAnsi="PT Astra Serif"/>
          <w:sz w:val="28"/>
          <w:szCs w:val="28"/>
        </w:rPr>
        <w:t xml:space="preserve"> – цена одной единицы i-го носителя информации по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 xml:space="preserve">-й должности в соответствии с нормативами, установленными в таблице 8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31. Затраты на приобретение деталей для содержания принтеров, многофункциональных устройств, копировальных аппаратов и иной оргтехники (З</w:t>
      </w:r>
      <w:r>
        <w:rPr>
          <w:rFonts w:ascii="PT Astra Serif" w:hAnsi="PT Astra Serif"/>
          <w:sz w:val="28"/>
          <w:szCs w:val="28"/>
          <w:vertAlign w:val="subscript"/>
        </w:rPr>
        <w:t>дсо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дсо</w:t>
      </w:r>
      <w:r>
        <w:rPr>
          <w:rFonts w:ascii="PT Astra Serif" w:hAnsi="PT Astra Serif"/>
          <w:sz w:val="28"/>
          <w:szCs w:val="28"/>
        </w:rPr>
        <w:t xml:space="preserve"> = З</w:t>
      </w:r>
      <w:r>
        <w:rPr>
          <w:rFonts w:ascii="PT Astra Serif" w:hAnsi="PT Astra Serif"/>
          <w:sz w:val="28"/>
          <w:szCs w:val="28"/>
          <w:vertAlign w:val="subscript"/>
        </w:rPr>
        <w:t>рм</w:t>
      </w:r>
      <w:r>
        <w:rPr>
          <w:rFonts w:ascii="PT Astra Serif" w:hAnsi="PT Astra Serif"/>
          <w:sz w:val="28"/>
          <w:szCs w:val="28"/>
        </w:rPr>
        <w:t xml:space="preserve"> + З</w:t>
      </w:r>
      <w:r>
        <w:rPr>
          <w:rFonts w:ascii="PT Astra Serif" w:hAnsi="PT Astra Serif"/>
          <w:sz w:val="28"/>
          <w:szCs w:val="28"/>
          <w:vertAlign w:val="subscript"/>
        </w:rPr>
        <w:t>зп</w:t>
      </w:r>
      <w:r>
        <w:rPr>
          <w:rFonts w:ascii="PT Astra Serif" w:hAnsi="PT Astra Serif"/>
          <w:sz w:val="28"/>
          <w:szCs w:val="28"/>
        </w:rPr>
        <w:t>, где: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рм</w:t>
      </w:r>
      <w:r>
        <w:rPr>
          <w:rFonts w:ascii="PT Astra Serif" w:hAnsi="PT Astra Serif"/>
          <w:sz w:val="28"/>
          <w:szCs w:val="28"/>
        </w:rPr>
        <w:t xml:space="preserve"> –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зп</w:t>
      </w:r>
      <w:r>
        <w:rPr>
          <w:rFonts w:ascii="PT Astra Serif" w:hAnsi="PT Astra Serif"/>
          <w:sz w:val="28"/>
          <w:szCs w:val="28"/>
        </w:rPr>
        <w:t xml:space="preserve"> – затраты на приобретение запасных частей для принтеров, многофункциональных устройств, копировальных аппаратов и иной оргтехники;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затраты на приобретение расходных материалов для принтеров, многофункциональных устройств, копировальных аппаратов и иной оргтехники (З</w:t>
      </w:r>
      <w:r>
        <w:rPr>
          <w:rFonts w:ascii="PT Astra Serif" w:hAnsi="PT Astra Serif"/>
          <w:sz w:val="28"/>
          <w:szCs w:val="28"/>
          <w:vertAlign w:val="subscript"/>
        </w:rPr>
        <w:t>рм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2066925" cy="476250"/>
            <wp:effectExtent l="0" t="0" r="0" b="0"/>
            <wp:docPr id="2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8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iрм</w:t>
      </w:r>
      <w:r>
        <w:rPr>
          <w:rFonts w:ascii="PT Astra Serif" w:hAnsi="PT Astra Serif"/>
          <w:sz w:val="28"/>
          <w:szCs w:val="28"/>
        </w:rPr>
        <w:t xml:space="preserve"> – фактическое количество принтеров, многофункциональных устройств, копировальных аппаратов и иной оргтехники по i-й должности в соответствии с нормативами, установленными в таблице 5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N</w:t>
      </w:r>
      <w:r>
        <w:rPr>
          <w:rFonts w:ascii="PT Astra Serif" w:hAnsi="PT Astra Serif"/>
          <w:sz w:val="28"/>
          <w:szCs w:val="28"/>
          <w:vertAlign w:val="subscript"/>
        </w:rPr>
        <w:t>iрм</w:t>
      </w:r>
      <w:r>
        <w:rPr>
          <w:rFonts w:ascii="PT Astra Serif" w:hAnsi="PT Astra Serif"/>
          <w:sz w:val="28"/>
          <w:szCs w:val="28"/>
        </w:rPr>
        <w:t xml:space="preserve"> – норматив потребления расходных материалов для принтеров, многофункциональных устройств, копировальных аппаратов и иной оргтехники по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 xml:space="preserve">-должности в соответствии с нормативами, установленными в таблице 9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iрм</w:t>
      </w:r>
      <w:r>
        <w:rPr>
          <w:rFonts w:ascii="PT Astra Serif" w:hAnsi="PT Astra Serif"/>
          <w:sz w:val="28"/>
          <w:szCs w:val="28"/>
        </w:rPr>
        <w:t xml:space="preserve"> – цена расходного материала для принтеров, многофункциональных устройств, копировальных аппаратов и иной оргтехники в соответствии с нормативами, установленными в таблице 9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 xml:space="preserve">; 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затраты на приобретение запасных частей для принтеров, многофункциональных устройств, копировальных аппаратов и иной оргтехники (З</w:t>
      </w:r>
      <w:r>
        <w:rPr>
          <w:rFonts w:ascii="PT Astra Serif" w:hAnsi="PT Astra Serif"/>
          <w:sz w:val="28"/>
          <w:szCs w:val="28"/>
          <w:vertAlign w:val="subscript"/>
        </w:rPr>
        <w:t>зп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552575" cy="476250"/>
            <wp:effectExtent l="0" t="0" r="0" b="0"/>
            <wp:docPr id="2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iзп</w:t>
      </w:r>
      <w:r>
        <w:rPr>
          <w:rFonts w:ascii="PT Astra Serif" w:hAnsi="PT Astra Serif"/>
          <w:sz w:val="28"/>
          <w:szCs w:val="28"/>
        </w:rPr>
        <w:t xml:space="preserve"> – количество i-х запасных частей для принтеров, многофункциональных устройств, копировальных аппаратов и иной оргтехники равно количеству приобретенных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>-х запасных частей для принтеров, многофункциональных устройств, копировальных аппаратов и иной оргтехники в предыдущем финансовом году;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iзп</w:t>
      </w:r>
      <w:r>
        <w:rPr>
          <w:rFonts w:ascii="PT Astra Serif" w:hAnsi="PT Astra Serif"/>
          <w:sz w:val="28"/>
          <w:szCs w:val="28"/>
        </w:rPr>
        <w:t xml:space="preserve"> – цена одной единицы i-й запасной части равна цене приобретения 1 единицы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 xml:space="preserve">-й запасной части для принтеров, многофункциональных устройств, копировальных аппаратов и иной оргтехники в предыдущем финансовом году. 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32. Затраты на приобретение материальных запасов по обеспечению безопасности информации (З</w:t>
      </w:r>
      <w:r>
        <w:rPr>
          <w:rFonts w:ascii="PT Astra Serif" w:hAnsi="PT Astra Serif"/>
          <w:sz w:val="28"/>
          <w:szCs w:val="28"/>
          <w:vertAlign w:val="subscript"/>
        </w:rPr>
        <w:t>мби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762125" cy="476250"/>
            <wp:effectExtent l="0" t="0" r="0" b="0"/>
            <wp:docPr id="2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8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iмби</w:t>
      </w:r>
      <w:r>
        <w:rPr>
          <w:rFonts w:ascii="PT Astra Serif" w:hAnsi="PT Astra Serif"/>
          <w:sz w:val="28"/>
          <w:szCs w:val="28"/>
        </w:rPr>
        <w:t xml:space="preserve"> – количество i-го материального запаса определяется по средним фактическим данным за три предыдущих финансовых года;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iмби</w:t>
      </w:r>
      <w:r>
        <w:rPr>
          <w:rFonts w:ascii="PT Astra Serif" w:hAnsi="PT Astra Serif"/>
          <w:sz w:val="28"/>
          <w:szCs w:val="28"/>
        </w:rPr>
        <w:t xml:space="preserve"> – цена одной единицы i-го материального запаса равна одной единице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>-го материального запаса в предыдущем финансовом году.</w:t>
      </w:r>
    </w:p>
    <w:p>
      <w:pPr>
        <w:widowControl w:val="0"/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>7. Прочие затраты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33. Затраты на услуги связи, не отнесенные к затратам на услуги связи в рамках затрат на информационно-коммуникационные технологии.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34.</w:t>
      </w:r>
      <w:r>
        <w:t> </w:t>
      </w:r>
      <w:r>
        <w:rPr>
          <w:rFonts w:ascii="PT Astra Serif" w:hAnsi="PT Astra Serif"/>
          <w:sz w:val="28"/>
          <w:szCs w:val="28"/>
        </w:rPr>
        <w:t xml:space="preserve">Затраты на услуги связи </w:t>
      </w:r>
      <w:r>
        <w:drawing>
          <wp:inline distT="0" distB="0" distL="0" distR="0">
            <wp:extent cx="400050" cy="276225"/>
            <wp:effectExtent l="0" t="0" r="0" b="0"/>
            <wp:docPr id="2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sz w:val="28"/>
          <w:szCs w:val="28"/>
        </w:rPr>
        <w:t xml:space="preserve">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257300" cy="276225"/>
            <wp:effectExtent l="0" t="0" r="0" b="0"/>
            <wp:docPr id="2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п</w:t>
      </w:r>
      <w:r>
        <w:rPr>
          <w:rFonts w:ascii="PT Astra Serif" w:hAnsi="PT Astra Serif"/>
          <w:sz w:val="28"/>
          <w:szCs w:val="28"/>
        </w:rPr>
        <w:t xml:space="preserve"> – затраты на оплату услуг почтовой связи;</w:t>
      </w:r>
    </w:p>
    <w:p>
      <w:pPr>
        <w:widowControl w:val="0"/>
        <w:spacing w:before="0" w:after="0"/>
        <w:ind w:firstLine="851"/>
        <w:contextualSpacing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сс</w:t>
      </w:r>
      <w:r>
        <w:rPr>
          <w:rFonts w:ascii="PT Astra Serif" w:hAnsi="PT Astra Serif"/>
          <w:sz w:val="28"/>
          <w:szCs w:val="28"/>
        </w:rPr>
        <w:t xml:space="preserve"> – затраты на оплату услуг специальной связи;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затраты на оплату услуг почтовой связи (З</w:t>
      </w:r>
      <w:r>
        <w:rPr>
          <w:rFonts w:ascii="PT Astra Serif" w:hAnsi="PT Astra Serif"/>
          <w:sz w:val="28"/>
          <w:szCs w:val="28"/>
          <w:vertAlign w:val="subscript"/>
        </w:rPr>
        <w:t>п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438275" cy="476250"/>
            <wp:effectExtent l="0" t="0" r="0" b="0"/>
            <wp:docPr id="2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8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 п</w:t>
      </w:r>
      <w:r>
        <w:rPr>
          <w:rFonts w:ascii="PT Astra Serif" w:hAnsi="PT Astra Serif"/>
          <w:sz w:val="28"/>
          <w:szCs w:val="28"/>
        </w:rPr>
        <w:t xml:space="preserve"> – планируемое количество i-х почтовых отправлений в год в соответствии с нормативами, установленными в таблице 10 Приложения № 2;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 п</w:t>
      </w:r>
      <w:r>
        <w:rPr>
          <w:rFonts w:ascii="PT Astra Serif" w:hAnsi="PT Astra Serif"/>
          <w:sz w:val="28"/>
          <w:szCs w:val="28"/>
        </w:rPr>
        <w:t xml:space="preserve"> – цена одного i-го почтового отправления в соответствии с нормативами, установленными в таблице 10 Приложения № 2;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затраты на оплату услуг специальной связи (З</w:t>
      </w:r>
      <w:r>
        <w:rPr>
          <w:rFonts w:ascii="PT Astra Serif" w:hAnsi="PT Astra Serif"/>
          <w:sz w:val="28"/>
          <w:szCs w:val="28"/>
          <w:vertAlign w:val="subscript"/>
        </w:rPr>
        <w:t>сс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сс</w:t>
      </w:r>
      <w:r>
        <w:rPr>
          <w:rFonts w:ascii="PT Astra Serif" w:hAnsi="PT Astra Serif"/>
          <w:sz w:val="28"/>
          <w:szCs w:val="28"/>
        </w:rPr>
        <w:t xml:space="preserve"> = Q</w:t>
      </w:r>
      <w:r>
        <w:rPr>
          <w:rFonts w:ascii="PT Astra Serif" w:hAnsi="PT Astra Serif"/>
          <w:sz w:val="28"/>
          <w:szCs w:val="28"/>
          <w:vertAlign w:val="subscript"/>
        </w:rPr>
        <w:t>сс</w:t>
      </w:r>
      <w:r>
        <w:rPr>
          <w:rFonts w:ascii="PT Astra Serif" w:hAnsi="PT Astra Serif"/>
          <w:sz w:val="28"/>
          <w:szCs w:val="28"/>
        </w:rPr>
        <w:t xml:space="preserve"> x Р</w:t>
      </w:r>
      <w:r>
        <w:rPr>
          <w:rFonts w:ascii="PT Astra Serif" w:hAnsi="PT Astra Serif"/>
          <w:sz w:val="28"/>
          <w:szCs w:val="28"/>
          <w:vertAlign w:val="subscript"/>
        </w:rPr>
        <w:t>сс</w:t>
      </w:r>
      <w:r>
        <w:rPr>
          <w:rFonts w:ascii="PT Astra Serif" w:hAnsi="PT Astra Serif"/>
          <w:sz w:val="28"/>
          <w:szCs w:val="28"/>
        </w:rPr>
        <w:t>, где: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сс</w:t>
      </w:r>
      <w:r>
        <w:rPr>
          <w:rFonts w:ascii="PT Astra Serif" w:hAnsi="PT Astra Serif"/>
          <w:sz w:val="28"/>
          <w:szCs w:val="28"/>
        </w:rPr>
        <w:t xml:space="preserve"> – планируемое количество листов (пакетов) исходящей информации в год в соответствии с нормативами, установленными в таблице 10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  <w:vertAlign w:val="subscript"/>
        </w:rPr>
        <w:t>сс</w:t>
      </w:r>
      <w:r>
        <w:rPr>
          <w:rFonts w:ascii="PT Astra Serif" w:hAnsi="PT Astra Serif"/>
          <w:sz w:val="28"/>
          <w:szCs w:val="28"/>
        </w:rPr>
        <w:t xml:space="preserve"> – цена одного листа (пакета) исходящей информации, отправляемой по каналам специальной связи в соответствии с нормативами, установленными в таблице 10 Приложения № 2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.</w:t>
      </w:r>
    </w:p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>8. Затраты на коммунальные услуги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35. Затраты на коммунальные услуги (З</w:t>
      </w:r>
      <w:r>
        <w:rPr>
          <w:rFonts w:ascii="PT Astra Serif" w:hAnsi="PT Astra Serif"/>
          <w:sz w:val="28"/>
          <w:szCs w:val="28"/>
          <w:vertAlign w:val="subscript"/>
        </w:rPr>
        <w:t>ком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ком</w:t>
      </w:r>
      <w:r>
        <w:rPr>
          <w:rFonts w:ascii="PT Astra Serif" w:hAnsi="PT Astra Serif"/>
          <w:sz w:val="28"/>
          <w:szCs w:val="28"/>
        </w:rPr>
        <w:t xml:space="preserve"> = З</w:t>
      </w:r>
      <w:r>
        <w:rPr>
          <w:rFonts w:ascii="PT Astra Serif" w:hAnsi="PT Astra Serif"/>
          <w:sz w:val="28"/>
          <w:szCs w:val="28"/>
          <w:vertAlign w:val="subscript"/>
        </w:rPr>
        <w:t>эс</w:t>
      </w:r>
      <w:r>
        <w:rPr>
          <w:rFonts w:ascii="PT Astra Serif" w:hAnsi="PT Astra Serif"/>
          <w:sz w:val="28"/>
          <w:szCs w:val="28"/>
        </w:rPr>
        <w:t xml:space="preserve"> + З</w:t>
      </w:r>
      <w:r>
        <w:rPr>
          <w:rFonts w:ascii="PT Astra Serif" w:hAnsi="PT Astra Serif"/>
          <w:sz w:val="28"/>
          <w:szCs w:val="28"/>
          <w:vertAlign w:val="subscript"/>
        </w:rPr>
        <w:t>тс</w:t>
      </w:r>
      <w:r>
        <w:rPr>
          <w:rFonts w:ascii="PT Astra Serif" w:hAnsi="PT Astra Serif"/>
          <w:sz w:val="28"/>
          <w:szCs w:val="28"/>
        </w:rPr>
        <w:t xml:space="preserve"> + З</w:t>
      </w:r>
      <w:r>
        <w:rPr>
          <w:rFonts w:ascii="PT Astra Serif" w:hAnsi="PT Astra Serif"/>
          <w:sz w:val="28"/>
          <w:szCs w:val="28"/>
          <w:vertAlign w:val="subscript"/>
        </w:rPr>
        <w:t>хв</w:t>
      </w:r>
      <w:r>
        <w:rPr>
          <w:rFonts w:ascii="PT Astra Serif" w:hAnsi="PT Astra Serif"/>
          <w:sz w:val="28"/>
          <w:szCs w:val="28"/>
        </w:rPr>
        <w:t>, где: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гс</w:t>
      </w:r>
      <w:r>
        <w:rPr>
          <w:rFonts w:ascii="PT Astra Serif" w:hAnsi="PT Astra Serif"/>
          <w:sz w:val="28"/>
          <w:szCs w:val="28"/>
        </w:rPr>
        <w:t xml:space="preserve"> – затраты на газоснабжение и иные виды топлива;З</w:t>
      </w:r>
      <w:r>
        <w:rPr>
          <w:rFonts w:ascii="PT Astra Serif" w:hAnsi="PT Astra Serif"/>
          <w:sz w:val="28"/>
          <w:szCs w:val="28"/>
          <w:vertAlign w:val="subscript"/>
        </w:rPr>
        <w:t>эс</w:t>
      </w:r>
      <w:r>
        <w:rPr>
          <w:rFonts w:ascii="PT Astra Serif" w:hAnsi="PT Astra Serif"/>
          <w:sz w:val="28"/>
          <w:szCs w:val="28"/>
        </w:rPr>
        <w:t xml:space="preserve"> – затраты на электроснабжение;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тс</w:t>
      </w:r>
      <w:r>
        <w:rPr>
          <w:rFonts w:ascii="PT Astra Serif" w:hAnsi="PT Astra Serif"/>
          <w:sz w:val="28"/>
          <w:szCs w:val="28"/>
        </w:rPr>
        <w:t xml:space="preserve"> – затраты на теплоснабжение;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хв</w:t>
      </w:r>
      <w:r>
        <w:rPr>
          <w:rFonts w:ascii="PT Astra Serif" w:hAnsi="PT Astra Serif"/>
          <w:sz w:val="28"/>
          <w:szCs w:val="28"/>
        </w:rPr>
        <w:t xml:space="preserve"> – затраты на холодное водоснабжение и водоотведение;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затраты на электроснабжение (З</w:t>
      </w:r>
      <w:r>
        <w:rPr>
          <w:rFonts w:ascii="PT Astra Serif" w:hAnsi="PT Astra Serif"/>
          <w:sz w:val="28"/>
          <w:szCs w:val="28"/>
          <w:vertAlign w:val="subscript"/>
        </w:rPr>
        <w:t>эс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590675" cy="476250"/>
            <wp:effectExtent l="0" t="0" r="0" b="0"/>
            <wp:docPr id="29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9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  <w:vertAlign w:val="subscript"/>
        </w:rPr>
        <w:t>i эс</w:t>
      </w:r>
      <w:r>
        <w:rPr>
          <w:rFonts w:ascii="PT Astra Serif" w:hAnsi="PT Astra Serif"/>
          <w:sz w:val="28"/>
          <w:szCs w:val="28"/>
        </w:rPr>
        <w:t xml:space="preserve"> –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>
        <w:rPr>
          <w:rFonts w:ascii="PT Astra Serif" w:hAnsi="PT Astra Serif"/>
          <w:sz w:val="28"/>
          <w:szCs w:val="28"/>
          <w:vertAlign w:val="subscript"/>
        </w:rPr>
        <w:t>i эс</w:t>
      </w:r>
      <w:r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 xml:space="preserve">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тарифа), в соответствии с нормативами, установленными в таблице 11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затраты на теплоснабжение (З</w:t>
      </w:r>
      <w:r>
        <w:rPr>
          <w:rFonts w:ascii="PT Astra Serif" w:hAnsi="PT Astra Serif"/>
          <w:sz w:val="28"/>
          <w:szCs w:val="28"/>
          <w:vertAlign w:val="subscript"/>
        </w:rPr>
        <w:t>тс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тс</w:t>
      </w:r>
      <w:r>
        <w:rPr>
          <w:rFonts w:ascii="PT Astra Serif" w:hAnsi="PT Astra Serif"/>
          <w:sz w:val="28"/>
          <w:szCs w:val="28"/>
        </w:rPr>
        <w:t xml:space="preserve"> = П</w:t>
      </w:r>
      <w:r>
        <w:rPr>
          <w:rFonts w:ascii="PT Astra Serif" w:hAnsi="PT Astra Serif"/>
          <w:sz w:val="28"/>
          <w:szCs w:val="28"/>
          <w:vertAlign w:val="subscript"/>
        </w:rPr>
        <w:t>топл</w:t>
      </w:r>
      <w:r>
        <w:rPr>
          <w:rFonts w:ascii="PT Astra Serif" w:hAnsi="PT Astra Serif"/>
          <w:sz w:val="28"/>
          <w:szCs w:val="28"/>
        </w:rPr>
        <w:t xml:space="preserve"> x Т</w:t>
      </w:r>
      <w:r>
        <w:rPr>
          <w:rFonts w:ascii="PT Astra Serif" w:hAnsi="PT Astra Serif"/>
          <w:sz w:val="28"/>
          <w:szCs w:val="28"/>
          <w:vertAlign w:val="subscript"/>
        </w:rPr>
        <w:t>тс</w:t>
      </w:r>
      <w:r>
        <w:rPr>
          <w:rFonts w:ascii="PT Astra Serif" w:hAnsi="PT Astra Serif"/>
          <w:sz w:val="28"/>
          <w:szCs w:val="28"/>
        </w:rPr>
        <w:t>, где: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>
        <w:rPr>
          <w:rFonts w:ascii="PT Astra Serif" w:hAnsi="PT Astra Serif"/>
          <w:sz w:val="28"/>
          <w:szCs w:val="28"/>
          <w:vertAlign w:val="subscript"/>
        </w:rPr>
        <w:t>топл</w:t>
      </w:r>
      <w:r>
        <w:rPr>
          <w:rFonts w:ascii="PT Astra Serif" w:hAnsi="PT Astra Serif"/>
          <w:sz w:val="28"/>
          <w:szCs w:val="28"/>
        </w:rPr>
        <w:t xml:space="preserve"> – расчетная потребность в теплоэнергии на отопление зданий, помещений и сооружений в соответствии с нормативами, установленными в таблице 12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  <w:vertAlign w:val="subscript"/>
        </w:rPr>
        <w:t>тс</w:t>
      </w:r>
      <w:r>
        <w:rPr>
          <w:rFonts w:ascii="PT Astra Serif" w:hAnsi="PT Astra Serif"/>
          <w:sz w:val="28"/>
          <w:szCs w:val="28"/>
        </w:rPr>
        <w:t xml:space="preserve"> – регулируемый тариф на теплоснабжение;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 затраты на холодное водоснабжение и водоотведение (З</w:t>
      </w:r>
      <w:r>
        <w:rPr>
          <w:rFonts w:ascii="PT Astra Serif" w:hAnsi="PT Astra Serif"/>
          <w:sz w:val="28"/>
          <w:szCs w:val="28"/>
          <w:vertAlign w:val="subscript"/>
        </w:rPr>
        <w:t>хв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хв</w:t>
      </w:r>
      <w:r>
        <w:rPr>
          <w:rFonts w:ascii="PT Astra Serif" w:hAnsi="PT Astra Serif"/>
          <w:sz w:val="28"/>
          <w:szCs w:val="28"/>
        </w:rPr>
        <w:t xml:space="preserve"> = П</w:t>
      </w:r>
      <w:r>
        <w:rPr>
          <w:rFonts w:ascii="PT Astra Serif" w:hAnsi="PT Astra Serif"/>
          <w:sz w:val="28"/>
          <w:szCs w:val="28"/>
          <w:vertAlign w:val="subscript"/>
        </w:rPr>
        <w:t>хв</w:t>
      </w:r>
      <w:r>
        <w:rPr>
          <w:rFonts w:ascii="PT Astra Serif" w:hAnsi="PT Astra Serif"/>
          <w:sz w:val="28"/>
          <w:szCs w:val="28"/>
        </w:rPr>
        <w:t xml:space="preserve"> x Т</w:t>
      </w:r>
      <w:r>
        <w:rPr>
          <w:rFonts w:ascii="PT Astra Serif" w:hAnsi="PT Astra Serif"/>
          <w:sz w:val="28"/>
          <w:szCs w:val="28"/>
          <w:vertAlign w:val="subscript"/>
        </w:rPr>
        <w:t>хв</w:t>
      </w:r>
      <w:r>
        <w:rPr>
          <w:rFonts w:ascii="PT Astra Serif" w:hAnsi="PT Astra Serif"/>
          <w:sz w:val="28"/>
          <w:szCs w:val="28"/>
        </w:rPr>
        <w:t xml:space="preserve"> + П</w:t>
      </w:r>
      <w:r>
        <w:rPr>
          <w:rFonts w:ascii="PT Astra Serif" w:hAnsi="PT Astra Serif"/>
          <w:sz w:val="28"/>
          <w:szCs w:val="28"/>
          <w:vertAlign w:val="subscript"/>
        </w:rPr>
        <w:t>во</w:t>
      </w:r>
      <w:r>
        <w:rPr>
          <w:rFonts w:ascii="PT Astra Serif" w:hAnsi="PT Astra Serif"/>
          <w:sz w:val="28"/>
          <w:szCs w:val="28"/>
        </w:rPr>
        <w:t xml:space="preserve"> x Т</w:t>
      </w:r>
      <w:r>
        <w:rPr>
          <w:rFonts w:ascii="PT Astra Serif" w:hAnsi="PT Astra Serif"/>
          <w:sz w:val="28"/>
          <w:szCs w:val="28"/>
          <w:vertAlign w:val="subscript"/>
        </w:rPr>
        <w:t>во</w:t>
      </w:r>
      <w:r>
        <w:rPr>
          <w:rFonts w:ascii="PT Astra Serif" w:hAnsi="PT Astra Serif"/>
          <w:sz w:val="28"/>
          <w:szCs w:val="28"/>
        </w:rPr>
        <w:t>, где: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>
        <w:rPr>
          <w:rFonts w:ascii="PT Astra Serif" w:hAnsi="PT Astra Serif"/>
          <w:sz w:val="28"/>
          <w:szCs w:val="28"/>
          <w:vertAlign w:val="subscript"/>
        </w:rPr>
        <w:t>хв</w:t>
      </w:r>
      <w:r>
        <w:rPr>
          <w:rFonts w:ascii="PT Astra Serif" w:hAnsi="PT Astra Serif"/>
          <w:sz w:val="28"/>
          <w:szCs w:val="28"/>
        </w:rPr>
        <w:t xml:space="preserve"> – расчетная потребность в холодном водоснабжении в соответствии с нормативами, установленными в таблице 13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  <w:vertAlign w:val="subscript"/>
        </w:rPr>
        <w:t>хв</w:t>
      </w:r>
      <w:r>
        <w:rPr>
          <w:rFonts w:ascii="PT Astra Serif" w:hAnsi="PT Astra Serif"/>
          <w:sz w:val="28"/>
          <w:szCs w:val="28"/>
        </w:rPr>
        <w:t xml:space="preserve"> – регулируемый тариф на холодное водоснабжение;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>
        <w:rPr>
          <w:rFonts w:ascii="PT Astra Serif" w:hAnsi="PT Astra Serif"/>
          <w:sz w:val="28"/>
          <w:szCs w:val="28"/>
          <w:vertAlign w:val="subscript"/>
        </w:rPr>
        <w:t>во</w:t>
      </w:r>
      <w:r>
        <w:rPr>
          <w:rFonts w:ascii="PT Astra Serif" w:hAnsi="PT Astra Serif"/>
          <w:sz w:val="28"/>
          <w:szCs w:val="28"/>
        </w:rPr>
        <w:t xml:space="preserve"> – расчетная потребность в водоотведении;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  <w:vertAlign w:val="subscript"/>
        </w:rPr>
        <w:t>во</w:t>
      </w:r>
      <w:r>
        <w:rPr>
          <w:rFonts w:ascii="PT Astra Serif" w:hAnsi="PT Astra Serif"/>
          <w:sz w:val="28"/>
          <w:szCs w:val="28"/>
        </w:rPr>
        <w:t xml:space="preserve"> – регулируемый тариф на водоотведение.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b w:val="0"/>
          <w:bCs w:val="0"/>
          <w:color w:val="FF0000"/>
          <w:sz w:val="28"/>
          <w:szCs w:val="28"/>
        </w:rPr>
      </w:pP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 xml:space="preserve">9. Затраты на содержание имущества, </w:t>
        <w:br/>
        <w:t xml:space="preserve">не отнесенные к затратам на содержание имущества в рамках </w:t>
        <w:br/>
        <w:t>затрат на информационно-коммуникационные технологии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>36. Затраты на содержание и техническое обслуживание помещений (З</w:t>
      </w:r>
      <w:r>
        <w:rPr>
          <w:rFonts w:ascii="PT Astra Serif" w:hAnsi="PT Astra Serif"/>
          <w:b w:val="0"/>
          <w:bCs w:val="0"/>
          <w:sz w:val="28"/>
          <w:szCs w:val="28"/>
          <w:vertAlign w:val="subscript"/>
        </w:rPr>
        <w:t>сп</w:t>
      </w:r>
      <w:r>
        <w:rPr>
          <w:rFonts w:ascii="PT Astra Serif" w:hAnsi="PT Astra Serif"/>
          <w:b w:val="0"/>
          <w:bCs w:val="0"/>
          <w:sz w:val="28"/>
          <w:szCs w:val="28"/>
        </w:rPr>
        <w:t>) определяют</w:t>
      </w:r>
      <w:r>
        <w:rPr>
          <w:rFonts w:ascii="PT Astra Serif" w:hAnsi="PT Astra Serif"/>
          <w:sz w:val="28"/>
          <w:szCs w:val="28"/>
        </w:rPr>
        <w:t>ся по следующей формуле:</w:t>
      </w: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сп</w:t>
      </w:r>
      <w:r>
        <w:rPr>
          <w:rFonts w:ascii="PT Astra Serif" w:hAnsi="PT Astra Serif"/>
          <w:sz w:val="28"/>
          <w:szCs w:val="28"/>
        </w:rPr>
        <w:t xml:space="preserve"> = З</w:t>
      </w:r>
      <w:r>
        <w:rPr>
          <w:rFonts w:ascii="PT Astra Serif" w:hAnsi="PT Astra Serif"/>
          <w:sz w:val="28"/>
          <w:szCs w:val="28"/>
          <w:vertAlign w:val="subscript"/>
        </w:rPr>
        <w:t>ос</w:t>
      </w:r>
      <w:r>
        <w:rPr>
          <w:rFonts w:ascii="PT Astra Serif" w:hAnsi="PT Astra Serif"/>
          <w:sz w:val="28"/>
          <w:szCs w:val="28"/>
        </w:rPr>
        <w:t xml:space="preserve"> + З</w:t>
      </w:r>
      <w:r>
        <w:rPr>
          <w:rFonts w:ascii="PT Astra Serif" w:hAnsi="PT Astra Serif"/>
          <w:sz w:val="28"/>
          <w:szCs w:val="28"/>
          <w:vertAlign w:val="subscript"/>
        </w:rPr>
        <w:t>эз</w:t>
      </w:r>
      <w:r>
        <w:rPr>
          <w:rFonts w:ascii="PT Astra Serif" w:hAnsi="PT Astra Serif"/>
          <w:sz w:val="28"/>
          <w:szCs w:val="28"/>
        </w:rPr>
        <w:t xml:space="preserve"> + З</w:t>
      </w:r>
      <w:r>
        <w:rPr>
          <w:rFonts w:ascii="PT Astra Serif" w:hAnsi="PT Astra Serif"/>
          <w:sz w:val="28"/>
          <w:szCs w:val="28"/>
          <w:vertAlign w:val="subscript"/>
        </w:rPr>
        <w:t>аутп</w:t>
      </w:r>
      <w:r>
        <w:rPr>
          <w:rFonts w:ascii="PT Astra Serif" w:hAnsi="PT Astra Serif"/>
          <w:sz w:val="28"/>
          <w:szCs w:val="28"/>
        </w:rPr>
        <w:t xml:space="preserve"> + З</w:t>
      </w:r>
      <w:r>
        <w:rPr>
          <w:rFonts w:ascii="PT Astra Serif" w:hAnsi="PT Astra Serif"/>
          <w:sz w:val="28"/>
          <w:szCs w:val="28"/>
          <w:vertAlign w:val="subscript"/>
        </w:rPr>
        <w:t>тбо</w:t>
      </w:r>
      <w:r>
        <w:rPr>
          <w:rFonts w:ascii="PT Astra Serif" w:hAnsi="PT Astra Serif"/>
          <w:sz w:val="28"/>
          <w:szCs w:val="28"/>
        </w:rPr>
        <w:t xml:space="preserve"> + З</w:t>
      </w:r>
      <w:r>
        <w:rPr>
          <w:rFonts w:ascii="PT Astra Serif" w:hAnsi="PT Astra Serif"/>
          <w:sz w:val="28"/>
          <w:szCs w:val="28"/>
          <w:vertAlign w:val="subscript"/>
        </w:rPr>
        <w:t>уут</w:t>
      </w:r>
      <w:r>
        <w:rPr>
          <w:rFonts w:ascii="PT Astra Serif" w:hAnsi="PT Astra Serif"/>
          <w:sz w:val="28"/>
          <w:szCs w:val="28"/>
        </w:rPr>
        <w:t xml:space="preserve"> + З</w:t>
      </w:r>
      <w:r>
        <w:rPr>
          <w:rFonts w:ascii="PT Astra Serif" w:hAnsi="PT Astra Serif"/>
          <w:sz w:val="28"/>
          <w:szCs w:val="28"/>
          <w:vertAlign w:val="subscript"/>
        </w:rPr>
        <w:t>аэз</w:t>
      </w:r>
      <w:r>
        <w:rPr>
          <w:rFonts w:ascii="PT Astra Serif" w:hAnsi="PT Astra Serif"/>
          <w:sz w:val="28"/>
          <w:szCs w:val="28"/>
        </w:rPr>
        <w:t>, где: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ос</w:t>
      </w:r>
      <w:r>
        <w:rPr>
          <w:rFonts w:ascii="PT Astra Serif" w:hAnsi="PT Astra Serif"/>
          <w:sz w:val="28"/>
          <w:szCs w:val="28"/>
        </w:rPr>
        <w:t xml:space="preserve"> – затраты на техническое обслуживание и регламентно-профилактический ремонт систем охранно-пожарной сигнализации и системы видеонаблюдения;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эз</w:t>
      </w:r>
      <w:r>
        <w:rPr>
          <w:rFonts w:ascii="PT Astra Serif" w:hAnsi="PT Astra Serif"/>
          <w:sz w:val="28"/>
          <w:szCs w:val="28"/>
        </w:rPr>
        <w:t xml:space="preserve"> – затраты на содержание прилегающей территории;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аутп</w:t>
      </w:r>
      <w:r>
        <w:rPr>
          <w:rFonts w:ascii="PT Astra Serif" w:hAnsi="PT Astra Serif"/>
          <w:sz w:val="28"/>
          <w:szCs w:val="28"/>
        </w:rPr>
        <w:t xml:space="preserve"> – затраты на оплату услуг по обслуживанию и уборке помещения;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тбо</w:t>
      </w:r>
      <w:r>
        <w:rPr>
          <w:rFonts w:ascii="PT Astra Serif" w:hAnsi="PT Astra Serif"/>
          <w:sz w:val="28"/>
          <w:szCs w:val="28"/>
        </w:rPr>
        <w:t xml:space="preserve"> – затраты на вывоз твердых бытовых отходов;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уут</w:t>
      </w:r>
      <w:r>
        <w:rPr>
          <w:rFonts w:ascii="PT Astra Serif" w:hAnsi="PT Astra Serif"/>
          <w:sz w:val="28"/>
          <w:szCs w:val="28"/>
        </w:rPr>
        <w:t xml:space="preserve"> – затраты на техническое обслуживание и регламентно-профилактический ремонт индивидуального теплового узла, в том числе на подготовку отопительной системы к зимнему сезону;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аэз</w:t>
      </w:r>
      <w:r>
        <w:rPr>
          <w:rFonts w:ascii="PT Astra Serif" w:hAnsi="PT Astra Serif"/>
          <w:sz w:val="28"/>
          <w:szCs w:val="28"/>
        </w:rPr>
        <w:t xml:space="preserve"> – затраты на техническое обслуживание и регламентно-профилактический ремонт электрооборудования административного здания (помещения);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затраты на оплату услуг по обслуживанию и уборке помещения (З</w:t>
      </w:r>
      <w:r>
        <w:rPr>
          <w:rFonts w:ascii="PT Astra Serif" w:hAnsi="PT Astra Serif"/>
          <w:sz w:val="28"/>
          <w:szCs w:val="28"/>
          <w:vertAlign w:val="subscript"/>
        </w:rPr>
        <w:t>аутп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2339340" cy="478155"/>
            <wp:effectExtent l="0" t="0" r="0" b="0"/>
            <wp:docPr id="30" name="Рисунок 94" descr="base_23643_95816_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94" descr="base_23643_95816_12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47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S</w:t>
      </w:r>
      <w:r>
        <w:rPr>
          <w:rFonts w:ascii="PT Astra Serif" w:hAnsi="PT Astra Serif"/>
          <w:sz w:val="28"/>
          <w:szCs w:val="28"/>
          <w:vertAlign w:val="subscript"/>
        </w:rPr>
        <w:t>iаутп</w:t>
      </w:r>
      <w:r>
        <w:rPr>
          <w:rFonts w:ascii="PT Astra Serif" w:hAnsi="PT Astra Serif"/>
          <w:sz w:val="28"/>
          <w:szCs w:val="28"/>
        </w:rPr>
        <w:t xml:space="preserve"> – площадь в i-м помещении, в отношении которой планируется заключение договора (контракта) на обслуживание и уборку;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iаутп</w:t>
      </w:r>
      <w:r>
        <w:rPr>
          <w:rFonts w:ascii="PT Astra Serif" w:hAnsi="PT Astra Serif"/>
          <w:sz w:val="28"/>
          <w:szCs w:val="28"/>
        </w:rPr>
        <w:t xml:space="preserve"> – цена услуги по обслуживанию и уборке i-го помещения в месяц;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N</w:t>
      </w:r>
      <w:r>
        <w:rPr>
          <w:rFonts w:ascii="PT Astra Serif" w:hAnsi="PT Astra Serif"/>
          <w:sz w:val="28"/>
          <w:szCs w:val="28"/>
          <w:vertAlign w:val="subscript"/>
        </w:rPr>
        <w:t>iаутп</w:t>
      </w:r>
      <w:r>
        <w:rPr>
          <w:rFonts w:ascii="PT Astra Serif" w:hAnsi="PT Astra Serif"/>
          <w:sz w:val="28"/>
          <w:szCs w:val="28"/>
        </w:rPr>
        <w:t xml:space="preserve"> – количество месяцев использования услуги по обслуживанию и уборке i-го помещения в год.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Расчет производится в соответствии с нормативами, установленными в таблице 14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затраты на содержание прилегающей территории (З</w:t>
      </w:r>
      <w:r>
        <w:rPr>
          <w:rFonts w:ascii="PT Astra Serif" w:hAnsi="PT Astra Serif"/>
          <w:sz w:val="28"/>
          <w:szCs w:val="28"/>
          <w:vertAlign w:val="subscript"/>
        </w:rPr>
        <w:t>эз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752600" cy="438150"/>
            <wp:effectExtent l="0" t="0" r="0" b="0"/>
            <wp:docPr id="31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Изображение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599" cy="4381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S</w:t>
      </w:r>
      <w:r>
        <w:rPr>
          <w:rFonts w:ascii="PT Astra Serif" w:hAnsi="PT Astra Serif"/>
          <w:sz w:val="28"/>
          <w:szCs w:val="28"/>
          <w:vertAlign w:val="subscript"/>
        </w:rPr>
        <w:t>iэз</w:t>
      </w:r>
      <w:r>
        <w:rPr>
          <w:rFonts w:ascii="PT Astra Serif" w:hAnsi="PT Astra Serif"/>
          <w:sz w:val="28"/>
          <w:szCs w:val="28"/>
        </w:rPr>
        <w:t xml:space="preserve"> – площадь закрепленной i-й прилегающей территории;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iэз</w:t>
      </w:r>
      <w:r>
        <w:rPr>
          <w:rFonts w:ascii="PT Astra Serif" w:hAnsi="PT Astra Serif"/>
          <w:sz w:val="28"/>
          <w:szCs w:val="28"/>
        </w:rPr>
        <w:t xml:space="preserve"> – цена содержания i-й прилегающей территории в месяц в расчете на 1 кв. метр площади;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N</w:t>
      </w:r>
      <w:r>
        <w:rPr>
          <w:rFonts w:ascii="PT Astra Serif" w:hAnsi="PT Astra Serif"/>
          <w:sz w:val="28"/>
          <w:szCs w:val="28"/>
          <w:vertAlign w:val="subscript"/>
        </w:rPr>
        <w:t>iэз</w:t>
      </w:r>
      <w:r>
        <w:rPr>
          <w:rFonts w:ascii="PT Astra Serif" w:hAnsi="PT Astra Serif"/>
          <w:sz w:val="28"/>
          <w:szCs w:val="28"/>
        </w:rPr>
        <w:t xml:space="preserve"> – планируемое количество месяцев содержания i-й прилегающей территории в очередном финансовом году.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Расчет производится в соответствии с нормативами, установленными в таблице </w:t>
      </w:r>
      <w:r>
        <w:rPr>
          <w:rFonts w:ascii="PT Astra Serif" w:hAnsi="PT Astra Serif"/>
          <w:sz w:val="28"/>
          <w:szCs w:val="28"/>
          <w:highlight w:val="none"/>
        </w:rPr>
        <w:t>15</w:t>
      </w:r>
      <w:r>
        <w:rPr>
          <w:rFonts w:ascii="PT Astra Serif" w:hAnsi="PT Astra Serif"/>
          <w:sz w:val="28"/>
          <w:szCs w:val="28"/>
          <w:highlight w:val="none"/>
        </w:rPr>
        <w:t xml:space="preserve"> При</w:t>
      </w:r>
      <w:r>
        <w:rPr>
          <w:rFonts w:ascii="PT Astra Serif" w:hAnsi="PT Astra Serif"/>
          <w:sz w:val="28"/>
          <w:szCs w:val="28"/>
        </w:rPr>
        <w:t xml:space="preserve">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 затраты на вывоз твердых бытовых отходов (З</w:t>
      </w:r>
      <w:r>
        <w:rPr>
          <w:rFonts w:ascii="PT Astra Serif" w:hAnsi="PT Astra Serif"/>
          <w:sz w:val="28"/>
          <w:szCs w:val="28"/>
          <w:vertAlign w:val="subscript"/>
        </w:rPr>
        <w:t>тбо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тбо</w:t>
      </w:r>
      <w:r>
        <w:rPr>
          <w:rFonts w:ascii="PT Astra Serif" w:hAnsi="PT Astra Serif"/>
          <w:sz w:val="28"/>
          <w:szCs w:val="28"/>
        </w:rPr>
        <w:t xml:space="preserve"> = Q</w:t>
      </w:r>
      <w:r>
        <w:rPr>
          <w:rFonts w:ascii="PT Astra Serif" w:hAnsi="PT Astra Serif"/>
          <w:sz w:val="28"/>
          <w:szCs w:val="28"/>
          <w:vertAlign w:val="subscript"/>
        </w:rPr>
        <w:t>тбо</w:t>
      </w:r>
      <w:r>
        <w:rPr>
          <w:rFonts w:ascii="PT Astra Serif" w:hAnsi="PT Astra Serif"/>
          <w:sz w:val="28"/>
          <w:szCs w:val="28"/>
        </w:rPr>
        <w:t xml:space="preserve"> x Р</w:t>
      </w:r>
      <w:r>
        <w:rPr>
          <w:rFonts w:ascii="PT Astra Serif" w:hAnsi="PT Astra Serif"/>
          <w:sz w:val="28"/>
          <w:szCs w:val="28"/>
          <w:vertAlign w:val="subscript"/>
        </w:rPr>
        <w:t>тбо</w:t>
      </w:r>
      <w:r>
        <w:rPr>
          <w:rFonts w:ascii="PT Astra Serif" w:hAnsi="PT Astra Serif"/>
          <w:sz w:val="28"/>
          <w:szCs w:val="28"/>
        </w:rPr>
        <w:t>, где: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тбо</w:t>
      </w:r>
      <w:r>
        <w:rPr>
          <w:rFonts w:ascii="PT Astra Serif" w:hAnsi="PT Astra Serif"/>
          <w:sz w:val="28"/>
          <w:szCs w:val="28"/>
        </w:rPr>
        <w:t xml:space="preserve"> – количество куб. метров твердых бытовых отходов в год равно количеству куб. метров твердых бытовых отходов в предыдущем финансовом году;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  <w:vertAlign w:val="subscript"/>
        </w:rPr>
        <w:t>тбо</w:t>
      </w:r>
      <w:r>
        <w:rPr>
          <w:rFonts w:ascii="PT Astra Serif" w:hAnsi="PT Astra Serif"/>
          <w:sz w:val="28"/>
          <w:szCs w:val="28"/>
        </w:rPr>
        <w:t xml:space="preserve"> – цена вывоза 1 куб. метра твердых бытовых отходов равна цене вывоза 1 куб. метра твердых бытовых отходов;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 затраты на техническое обслуживание и регламентно-профилактический ремонт индивидуального теплового узла, в том числе на подготовку отопительной системы к зимнему сезону (З</w:t>
      </w:r>
      <w:r>
        <w:rPr>
          <w:rFonts w:ascii="PT Astra Serif" w:hAnsi="PT Astra Serif"/>
          <w:sz w:val="28"/>
          <w:szCs w:val="28"/>
          <w:vertAlign w:val="subscript"/>
        </w:rPr>
        <w:t>итп</w:t>
      </w:r>
      <w:r>
        <w:rPr>
          <w:rFonts w:ascii="PT Astra Serif" w:hAnsi="PT Astra Serif"/>
          <w:sz w:val="28"/>
          <w:szCs w:val="28"/>
        </w:rPr>
        <w:t>), определяются по следующей формуле:</w:t>
      </w: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уут</w:t>
      </w:r>
      <w:r>
        <w:rPr>
          <w:rFonts w:ascii="PT Astra Serif" w:hAnsi="PT Astra Serif"/>
          <w:sz w:val="28"/>
          <w:szCs w:val="28"/>
        </w:rPr>
        <w:t xml:space="preserve"> = S</w:t>
      </w:r>
      <w:r>
        <w:rPr>
          <w:rFonts w:ascii="PT Astra Serif" w:hAnsi="PT Astra Serif"/>
          <w:sz w:val="28"/>
          <w:szCs w:val="28"/>
          <w:vertAlign w:val="subscript"/>
        </w:rPr>
        <w:t>итп</w:t>
      </w:r>
      <w:r>
        <w:rPr>
          <w:rFonts w:ascii="PT Astra Serif" w:hAnsi="PT Astra Serif"/>
          <w:sz w:val="28"/>
          <w:szCs w:val="28"/>
        </w:rPr>
        <w:t xml:space="preserve"> x Р</w:t>
      </w:r>
      <w:r>
        <w:rPr>
          <w:rFonts w:ascii="PT Astra Serif" w:hAnsi="PT Astra Serif"/>
          <w:sz w:val="28"/>
          <w:szCs w:val="28"/>
          <w:vertAlign w:val="subscript"/>
        </w:rPr>
        <w:t>итп</w:t>
      </w:r>
      <w:r>
        <w:rPr>
          <w:rFonts w:ascii="PT Astra Serif" w:hAnsi="PT Astra Serif"/>
          <w:sz w:val="28"/>
          <w:szCs w:val="28"/>
        </w:rPr>
        <w:t>, где: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S</w:t>
      </w:r>
      <w:r>
        <w:rPr>
          <w:rFonts w:ascii="PT Astra Serif" w:hAnsi="PT Astra Serif"/>
          <w:sz w:val="28"/>
          <w:szCs w:val="28"/>
          <w:vertAlign w:val="subscript"/>
        </w:rPr>
        <w:t>итп</w:t>
      </w:r>
      <w:r>
        <w:rPr>
          <w:rFonts w:ascii="PT Astra Serif" w:hAnsi="PT Astra Serif"/>
          <w:sz w:val="28"/>
          <w:szCs w:val="28"/>
        </w:rPr>
        <w:t xml:space="preserve"> – площадь административных помещений, для отопления которых используется индивидуальный тепловой пункт;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  <w:vertAlign w:val="subscript"/>
        </w:rPr>
        <w:t>итп</w:t>
      </w:r>
      <w:r>
        <w:rPr>
          <w:rFonts w:ascii="PT Astra Serif" w:hAnsi="PT Astra Serif"/>
          <w:sz w:val="28"/>
          <w:szCs w:val="28"/>
        </w:rPr>
        <w:t xml:space="preserve"> – цена технического обслуживания и текущего ремонта индивидуального теплового пункта в расчете на 1 кв. метр площади соответствующих административных помещений.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37. Затраты на техническое обслуживание и ремонт транспортных средств З</w:t>
      </w:r>
      <w:r>
        <w:rPr>
          <w:rFonts w:ascii="PT Astra Serif" w:hAnsi="PT Astra Serif"/>
          <w:sz w:val="28"/>
          <w:szCs w:val="28"/>
          <w:vertAlign w:val="subscript"/>
        </w:rPr>
        <w:t>тортс</w:t>
      </w:r>
      <w:r>
        <w:rPr>
          <w:rFonts w:ascii="PT Astra Serif" w:hAnsi="PT Astra Serif"/>
          <w:sz w:val="28"/>
          <w:szCs w:val="28"/>
        </w:rPr>
        <w:t xml:space="preserve">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2038350" cy="523875"/>
            <wp:effectExtent l="0" t="0" r="0" b="0"/>
            <wp:docPr id="32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9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49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тортс</w:t>
      </w:r>
      <w:r>
        <w:rPr>
          <w:rFonts w:ascii="PT Astra Serif" w:hAnsi="PT Astra Serif"/>
          <w:sz w:val="28"/>
          <w:szCs w:val="28"/>
        </w:rPr>
        <w:t xml:space="preserve"> – количество i-го транспортного средства;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  <w:vertAlign w:val="subscript"/>
        </w:rPr>
        <w:t>тортс</w:t>
      </w:r>
      <w:r>
        <w:rPr>
          <w:rFonts w:ascii="PT Astra Serif" w:hAnsi="PT Astra Serif"/>
          <w:sz w:val="28"/>
          <w:szCs w:val="28"/>
        </w:rPr>
        <w:t xml:space="preserve"> – стоимость технического обслуживания и ремонта i-го транспортного средства, которая определяется по средним фактическим данным за 3 предыдущих финансовых года.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38. Затраты на техническое обслуживание и регламентно-профилактический ремонт бытового оборудования определяются по фактическим затратам в отчетном финансовом году.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39. Затраты на техническое обслуживание и регламентно-профилактический ремонт иного оборудования –систем кондиционирования и вентиляции, систем охранно-пожарной сигнализации</w:t>
      </w:r>
      <w:r>
        <w:rPr>
          <w:rFonts w:ascii="PT Astra Serif" w:hAnsi="PT Astra Serif"/>
          <w:color w:val="FF0000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систем видеонаблюдения (З</w:t>
      </w:r>
      <w:r>
        <w:rPr>
          <w:rFonts w:ascii="PT Astra Serif" w:hAnsi="PT Astra Serif"/>
          <w:sz w:val="28"/>
          <w:szCs w:val="28"/>
          <w:vertAlign w:val="subscript"/>
        </w:rPr>
        <w:t>ио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ио</w:t>
      </w:r>
      <w:r>
        <w:rPr>
          <w:rFonts w:ascii="PT Astra Serif" w:hAnsi="PT Astra Serif"/>
          <w:sz w:val="28"/>
          <w:szCs w:val="28"/>
        </w:rPr>
        <w:t xml:space="preserve"> = З</w:t>
      </w:r>
      <w:r>
        <w:rPr>
          <w:rFonts w:ascii="PT Astra Serif" w:hAnsi="PT Astra Serif"/>
          <w:sz w:val="28"/>
          <w:szCs w:val="28"/>
          <w:vertAlign w:val="subscript"/>
        </w:rPr>
        <w:t>скив</w:t>
      </w:r>
      <w:r>
        <w:rPr>
          <w:rFonts w:ascii="PT Astra Serif" w:hAnsi="PT Astra Serif"/>
          <w:sz w:val="28"/>
          <w:szCs w:val="28"/>
        </w:rPr>
        <w:t xml:space="preserve"> + З</w:t>
      </w:r>
      <w:r>
        <w:rPr>
          <w:rFonts w:ascii="PT Astra Serif" w:hAnsi="PT Astra Serif"/>
          <w:sz w:val="28"/>
          <w:szCs w:val="28"/>
          <w:vertAlign w:val="subscript"/>
        </w:rPr>
        <w:t>спс</w:t>
      </w:r>
      <w:r>
        <w:rPr>
          <w:rFonts w:ascii="PT Astra Serif" w:hAnsi="PT Astra Serif"/>
          <w:sz w:val="28"/>
          <w:szCs w:val="28"/>
        </w:rPr>
        <w:t xml:space="preserve"> + З</w:t>
      </w:r>
      <w:r>
        <w:rPr>
          <w:rFonts w:ascii="PT Astra Serif" w:hAnsi="PT Astra Serif"/>
          <w:sz w:val="28"/>
          <w:szCs w:val="28"/>
          <w:vertAlign w:val="subscript"/>
        </w:rPr>
        <w:t>свн</w:t>
      </w:r>
      <w:r>
        <w:rPr>
          <w:rFonts w:ascii="PT Astra Serif" w:hAnsi="PT Astra Serif"/>
          <w:sz w:val="28"/>
          <w:szCs w:val="28"/>
        </w:rPr>
        <w:t>, где: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скив</w:t>
      </w:r>
      <w:r>
        <w:rPr>
          <w:rFonts w:ascii="PT Astra Serif" w:hAnsi="PT Astra Serif"/>
          <w:sz w:val="28"/>
          <w:szCs w:val="28"/>
        </w:rPr>
        <w:t xml:space="preserve"> – затраты на техническое обслуживание и регламентно-профилактический ремонт систем кондиционирования и вентиляции;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спс</w:t>
      </w:r>
      <w:r>
        <w:rPr>
          <w:rFonts w:ascii="PT Astra Serif" w:hAnsi="PT Astra Serif"/>
          <w:sz w:val="28"/>
          <w:szCs w:val="28"/>
        </w:rPr>
        <w:t xml:space="preserve"> – затраты на техническое обслуживание и регламентно-профилактический ремонт систем охранно-пожарной сигнализации и системы видеонаблюдения;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свн</w:t>
      </w:r>
      <w:r>
        <w:rPr>
          <w:rFonts w:ascii="PT Astra Serif" w:hAnsi="PT Astra Serif"/>
          <w:sz w:val="28"/>
          <w:szCs w:val="28"/>
        </w:rPr>
        <w:t xml:space="preserve"> – затраты на техническое обслуживание и регламентно-профилактический ремонт систем видеонаблюдения;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затраты на техническое обслуживание и регламентно-профилактический ремонт систем кондиционирования (З</w:t>
      </w:r>
      <w:r>
        <w:rPr>
          <w:rFonts w:ascii="PT Astra Serif" w:hAnsi="PT Astra Serif"/>
          <w:sz w:val="28"/>
          <w:szCs w:val="28"/>
          <w:vertAlign w:val="subscript"/>
        </w:rPr>
        <w:t>скив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  <w:highlight w:val="none"/>
        </w:rPr>
      </w:pPr>
      <w:r>
        <w:drawing>
          <wp:inline distT="0" distB="0" distL="0" distR="0">
            <wp:extent cx="2009775" cy="520700"/>
            <wp:effectExtent l="0" t="0" r="0" b="0"/>
            <wp:docPr id="33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6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2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 скив</w:t>
      </w:r>
      <w:r>
        <w:rPr>
          <w:rFonts w:ascii="PT Astra Serif" w:hAnsi="PT Astra Serif"/>
          <w:sz w:val="28"/>
          <w:szCs w:val="28"/>
        </w:rPr>
        <w:t xml:space="preserve"> – количество i-х установок кондиционирования в соответствии с нормативами, установленными в таблице 21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 скив</w:t>
      </w:r>
      <w:r>
        <w:rPr>
          <w:rFonts w:ascii="PT Astra Serif" w:hAnsi="PT Astra Serif"/>
          <w:sz w:val="28"/>
          <w:szCs w:val="28"/>
        </w:rPr>
        <w:t xml:space="preserve"> – цена технического обслуживания и регламентно-профилактического ремонта одной i-й установки кондиционирования и элементов вент</w:t>
      </w:r>
      <w:r>
        <w:rPr>
          <w:rFonts w:ascii="PT Astra Serif" w:hAnsi="PT Astra Serif"/>
          <w:sz w:val="28"/>
          <w:szCs w:val="28"/>
        </w:rPr>
        <w:t>иляции в табл</w:t>
      </w:r>
      <w:r>
        <w:rPr>
          <w:rFonts w:ascii="PT Astra Serif" w:hAnsi="PT Astra Serif"/>
          <w:sz w:val="28"/>
          <w:szCs w:val="28"/>
          <w:highlight w:val="none"/>
        </w:rPr>
        <w:t>ице 21 П</w:t>
      </w:r>
      <w:r>
        <w:rPr>
          <w:rFonts w:ascii="PT Astra Serif" w:hAnsi="PT Astra Serif"/>
          <w:sz w:val="28"/>
          <w:szCs w:val="28"/>
          <w:highlight w:val="none"/>
        </w:rPr>
        <w:t>р</w:t>
      </w:r>
      <w:r>
        <w:rPr>
          <w:rFonts w:ascii="PT Astra Serif" w:hAnsi="PT Astra Serif"/>
          <w:sz w:val="28"/>
          <w:szCs w:val="28"/>
        </w:rPr>
        <w:t xml:space="preserve">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затраты на техническое обслуживание и регламентно-профилактический ремонт систем охранно- пожарной сигнализации (З</w:t>
      </w:r>
      <w:r>
        <w:rPr>
          <w:rFonts w:ascii="PT Astra Serif" w:hAnsi="PT Astra Serif"/>
          <w:sz w:val="28"/>
          <w:szCs w:val="28"/>
          <w:vertAlign w:val="subscript"/>
        </w:rPr>
        <w:t>спс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849755" cy="520700"/>
            <wp:effectExtent l="0" t="0" r="0" b="0"/>
            <wp:docPr id="34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6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755" cy="52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 спс</w:t>
      </w:r>
      <w:r>
        <w:rPr>
          <w:rFonts w:ascii="PT Astra Serif" w:hAnsi="PT Astra Serif"/>
          <w:sz w:val="28"/>
          <w:szCs w:val="28"/>
        </w:rPr>
        <w:t xml:space="preserve"> – количество i-х извещателей пожарной сигнализации;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 спс</w:t>
      </w:r>
      <w:r>
        <w:rPr>
          <w:rFonts w:ascii="PT Astra Serif" w:hAnsi="PT Astra Serif"/>
          <w:sz w:val="28"/>
          <w:szCs w:val="28"/>
        </w:rPr>
        <w:t xml:space="preserve"> – цена технического обслуживания и регламентно-профилактического ремонта одного i-го извещателя в год.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>10. Затраты на приобретение прочих работ и услуг, не относящиеся</w:t>
        <w:br/>
        <w:t xml:space="preserve"> к затратам на услуги связи, оплату расходов по договорам об оказании услуг, связанных с проездом и наймом жилого помещения в связи с командир</w:t>
      </w:r>
      <w:r>
        <w:rPr>
          <w:rFonts w:ascii="PT Astra Serif" w:hAnsi="PT Astra Serif"/>
          <w:b w:val="0"/>
          <w:bCs w:val="0"/>
          <w:sz w:val="28"/>
          <w:szCs w:val="28"/>
        </w:rPr>
        <w:t>ованием работников, заключаемым со сторонними организациями, а также к затратам на коммунальные услуги, содержание имущества в рамках прочих затрат и затратам на приобретение прочих работ и услуг в рамках затрат на информационно-коммуникационные технологии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40. Затраты на проведение предрейсового осмотра водителей транспортных средств (З</w:t>
      </w:r>
      <w:r>
        <w:rPr>
          <w:rFonts w:ascii="PT Astra Serif" w:hAnsi="PT Astra Serif"/>
          <w:sz w:val="28"/>
          <w:szCs w:val="28"/>
          <w:vertAlign w:val="subscript"/>
        </w:rPr>
        <w:t>осм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943100" cy="476250"/>
            <wp:effectExtent l="0" t="0" r="0" b="0"/>
            <wp:docPr id="35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98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вод</w:t>
      </w:r>
      <w:r>
        <w:rPr>
          <w:rFonts w:ascii="PT Astra Serif" w:hAnsi="PT Astra Serif"/>
          <w:sz w:val="28"/>
          <w:szCs w:val="28"/>
        </w:rPr>
        <w:t xml:space="preserve"> – количество водителей;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вод</w:t>
      </w:r>
      <w:r>
        <w:rPr>
          <w:rFonts w:ascii="PT Astra Serif" w:hAnsi="PT Astra Serif"/>
          <w:sz w:val="28"/>
          <w:szCs w:val="28"/>
        </w:rPr>
        <w:t xml:space="preserve"> – цена проведения одного предрей</w:t>
      </w:r>
      <w:r>
        <w:rPr>
          <w:rFonts w:ascii="PT Astra Serif" w:hAnsi="PT Astra Serif"/>
          <w:sz w:val="28"/>
          <w:szCs w:val="28"/>
        </w:rPr>
        <w:t>сового осмотра;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N</w:t>
      </w:r>
      <w:r>
        <w:rPr>
          <w:rFonts w:ascii="PT Astra Serif" w:hAnsi="PT Astra Serif"/>
          <w:sz w:val="28"/>
          <w:szCs w:val="28"/>
          <w:vertAlign w:val="subscript"/>
        </w:rPr>
        <w:t>вод</w:t>
      </w:r>
      <w:r>
        <w:rPr>
          <w:rFonts w:ascii="PT Astra Serif" w:hAnsi="PT Astra Serif"/>
          <w:sz w:val="28"/>
          <w:szCs w:val="28"/>
        </w:rPr>
        <w:t xml:space="preserve"> – количество рабочих дней в году;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1,2 –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 xml:space="preserve">Расчет производится в соответствии с нормативами согласно таблице 16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41. Затраты на проведение диспансеризации работников (З</w:t>
      </w:r>
      <w:r>
        <w:rPr>
          <w:rFonts w:ascii="PT Astra Serif" w:hAnsi="PT Astra Serif"/>
          <w:sz w:val="28"/>
          <w:szCs w:val="28"/>
          <w:vertAlign w:val="subscript"/>
        </w:rPr>
        <w:t>дисп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дисп</w:t>
      </w:r>
      <w:r>
        <w:rPr>
          <w:rFonts w:ascii="PT Astra Serif" w:hAnsi="PT Astra Serif"/>
          <w:sz w:val="28"/>
          <w:szCs w:val="28"/>
        </w:rPr>
        <w:t xml:space="preserve"> = Ч</w:t>
      </w:r>
      <w:r>
        <w:rPr>
          <w:rFonts w:ascii="PT Astra Serif" w:hAnsi="PT Astra Serif"/>
          <w:sz w:val="28"/>
          <w:szCs w:val="28"/>
          <w:vertAlign w:val="subscript"/>
        </w:rPr>
        <w:t>дисп</w:t>
      </w:r>
      <w:r>
        <w:rPr>
          <w:rFonts w:ascii="PT Astra Serif" w:hAnsi="PT Astra Serif"/>
          <w:sz w:val="28"/>
          <w:szCs w:val="28"/>
        </w:rPr>
        <w:t xml:space="preserve"> x Р</w:t>
      </w:r>
      <w:r>
        <w:rPr>
          <w:rFonts w:ascii="PT Astra Serif" w:hAnsi="PT Astra Serif"/>
          <w:sz w:val="28"/>
          <w:szCs w:val="28"/>
          <w:vertAlign w:val="subscript"/>
        </w:rPr>
        <w:t>дисп</w:t>
      </w:r>
      <w:r>
        <w:rPr>
          <w:rFonts w:ascii="PT Astra Serif" w:hAnsi="PT Astra Serif"/>
          <w:sz w:val="28"/>
          <w:szCs w:val="28"/>
        </w:rPr>
        <w:t>, где: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Ч</w:t>
      </w:r>
      <w:r>
        <w:rPr>
          <w:rFonts w:ascii="PT Astra Serif" w:hAnsi="PT Astra Serif"/>
          <w:sz w:val="28"/>
          <w:szCs w:val="28"/>
          <w:vertAlign w:val="subscript"/>
        </w:rPr>
        <w:t>дисп</w:t>
      </w:r>
      <w:r>
        <w:rPr>
          <w:rFonts w:ascii="PT Astra Serif" w:hAnsi="PT Astra Serif"/>
          <w:sz w:val="28"/>
          <w:szCs w:val="28"/>
        </w:rPr>
        <w:t xml:space="preserve"> – численность работников, подлежащих диспансеризации;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  <w:vertAlign w:val="subscript"/>
        </w:rPr>
        <w:t>дисп</w:t>
      </w:r>
      <w:r>
        <w:rPr>
          <w:rFonts w:ascii="PT Astra Serif" w:hAnsi="PT Astra Serif"/>
          <w:sz w:val="28"/>
          <w:szCs w:val="28"/>
        </w:rPr>
        <w:t xml:space="preserve"> – цена проведения диспансеризации в расчете на одного работника.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 xml:space="preserve">Расчет производится в соответствии с нормативами согласно таблице 17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42. Затраты на приобретение полисов обязательного страхования гражданской ответственности владельцев транспортных средств (З</w:t>
      </w:r>
      <w:r>
        <w:rPr>
          <w:rFonts w:ascii="PT Astra Serif" w:hAnsi="PT Astra Serif"/>
          <w:sz w:val="28"/>
          <w:szCs w:val="28"/>
          <w:vertAlign w:val="subscript"/>
        </w:rPr>
        <w:t>осаго</w:t>
      </w:r>
      <w:r>
        <w:rPr>
          <w:rFonts w:ascii="PT Astra Serif" w:hAnsi="PT Astra Serif"/>
          <w:sz w:val="28"/>
          <w:szCs w:val="28"/>
        </w:rPr>
        <w:t>) определяются в соответствии с установленными базовыми ставками страховых тар</w:t>
      </w:r>
      <w:r>
        <w:rPr>
          <w:rFonts w:ascii="PT Astra Serif" w:hAnsi="PT Astra Serif"/>
          <w:sz w:val="28"/>
          <w:szCs w:val="28"/>
        </w:rPr>
        <w:t>ифов и коэффициентами страховых тарифов по следующей формуле:</w:t>
      </w:r>
    </w:p>
    <w:p>
      <w:pPr>
        <w:widowControl w:val="0"/>
        <w:spacing w:before="0" w:after="0"/>
        <w:ind w:firstLine="851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4457700" cy="476250"/>
            <wp:effectExtent l="0" t="0" r="0" b="0"/>
            <wp:docPr id="36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9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ТБ</w:t>
      </w:r>
      <w:r>
        <w:rPr>
          <w:rFonts w:ascii="PT Astra Serif" w:hAnsi="PT Astra Serif"/>
          <w:sz w:val="28"/>
          <w:szCs w:val="28"/>
          <w:vertAlign w:val="subscript"/>
        </w:rPr>
        <w:t>i</w:t>
      </w:r>
      <w:r>
        <w:rPr>
          <w:rFonts w:ascii="PT Astra Serif" w:hAnsi="PT Astra Serif"/>
          <w:sz w:val="28"/>
          <w:szCs w:val="28"/>
        </w:rPr>
        <w:t xml:space="preserve"> – предельный размер базовой ставки страхового тарифа по i-му транспортному средству;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КТ</w:t>
      </w:r>
      <w:r>
        <w:rPr>
          <w:rFonts w:ascii="PT Astra Serif" w:hAnsi="PT Astra Serif"/>
          <w:sz w:val="28"/>
          <w:szCs w:val="28"/>
          <w:vertAlign w:val="subscript"/>
        </w:rPr>
        <w:t>i</w:t>
      </w:r>
      <w:r>
        <w:rPr>
          <w:rFonts w:ascii="PT Astra Serif" w:hAnsi="PT Astra Serif"/>
          <w:sz w:val="28"/>
          <w:szCs w:val="28"/>
        </w:rPr>
        <w:t xml:space="preserve"> – коэффициент страховых тарифов в зависимости от территории преимущественного использования i-го транспортного средства;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КБМ</w:t>
      </w:r>
      <w:r>
        <w:rPr>
          <w:rFonts w:ascii="PT Astra Serif" w:hAnsi="PT Astra Serif"/>
          <w:sz w:val="28"/>
          <w:szCs w:val="28"/>
          <w:vertAlign w:val="subscript"/>
        </w:rPr>
        <w:t>i</w:t>
      </w:r>
      <w:r>
        <w:rPr>
          <w:rFonts w:ascii="PT Astra Serif" w:hAnsi="PT Astra Serif"/>
          <w:sz w:val="28"/>
          <w:szCs w:val="28"/>
        </w:rPr>
        <w:t xml:space="preserve"> –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</w:t>
      </w:r>
      <w:r>
        <w:rPr>
          <w:rFonts w:ascii="PT Astra Serif" w:hAnsi="PT Astra Serif"/>
          <w:sz w:val="28"/>
          <w:szCs w:val="28"/>
          <w:vertAlign w:val="subscript"/>
        </w:rPr>
        <w:t>i</w:t>
      </w:r>
      <w:r>
        <w:rPr>
          <w:rFonts w:ascii="PT Astra Serif" w:hAnsi="PT Astra Serif"/>
          <w:sz w:val="28"/>
          <w:szCs w:val="28"/>
        </w:rPr>
        <w:t xml:space="preserve"> –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КМ</w:t>
      </w:r>
      <w:r>
        <w:rPr>
          <w:rFonts w:ascii="PT Astra Serif" w:hAnsi="PT Astra Serif"/>
          <w:sz w:val="28"/>
          <w:szCs w:val="28"/>
          <w:vertAlign w:val="subscript"/>
        </w:rPr>
        <w:t>i</w:t>
      </w:r>
      <w:r>
        <w:rPr>
          <w:rFonts w:ascii="PT Astra Serif" w:hAnsi="PT Astra Serif"/>
          <w:sz w:val="28"/>
          <w:szCs w:val="28"/>
        </w:rPr>
        <w:t xml:space="preserve"> – коэффициент страховых тарифов в зависимости от технических характеристик i-го транспортного средства;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КС</w:t>
      </w:r>
      <w:r>
        <w:rPr>
          <w:rFonts w:ascii="PT Astra Serif" w:hAnsi="PT Astra Serif"/>
          <w:sz w:val="28"/>
          <w:szCs w:val="28"/>
          <w:vertAlign w:val="subscript"/>
        </w:rPr>
        <w:t>i</w:t>
      </w:r>
      <w:r>
        <w:rPr>
          <w:rFonts w:ascii="PT Astra Serif" w:hAnsi="PT Astra Serif"/>
          <w:sz w:val="28"/>
          <w:szCs w:val="28"/>
        </w:rPr>
        <w:t xml:space="preserve"> – коэффициент страховых тарифов в зависимости от периода использования i-го транспортного средства;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КН</w:t>
      </w:r>
      <w:r>
        <w:rPr>
          <w:rFonts w:ascii="PT Astra Serif" w:hAnsi="PT Astra Serif"/>
          <w:sz w:val="28"/>
          <w:szCs w:val="28"/>
          <w:vertAlign w:val="subscript"/>
        </w:rPr>
        <w:t>i</w:t>
      </w:r>
      <w:r>
        <w:rPr>
          <w:rFonts w:ascii="PT Astra Serif" w:hAnsi="PT Astra Serif"/>
          <w:sz w:val="28"/>
          <w:szCs w:val="28"/>
        </w:rPr>
        <w:t xml:space="preserve"> – коэффициент страховых тарифов в зависимости от наличия нарушений, предусмотренных </w:t>
      </w:r>
      <w:hyperlink r:id="rId45" w:tooltip="consultantplus://offline/ref=8A65FFC8AA2074C91096490A103E3C2602B329403AF8D400961038D28D15DB8BC200F8CE396D74F4XFoCI" w:history="1">
        <w:r>
          <w:rPr>
            <w:rFonts w:ascii="PT Astra Serif" w:hAnsi="PT Astra Serif"/>
            <w:sz w:val="28"/>
            <w:szCs w:val="28"/>
          </w:rPr>
          <w:t>пунктом 3 статьи 9</w:t>
        </w:r>
      </w:hyperlink>
      <w:r>
        <w:rPr>
          <w:rFonts w:ascii="PT Astra Serif" w:hAnsi="PT Astra Serif"/>
          <w:sz w:val="28"/>
          <w:szCs w:val="28"/>
        </w:rPr>
        <w:t xml:space="preserve"> Федерального закона от </w:t>
        <w:br/>
        <w:t>25 апреля 2002 года № 40-ФЗ «Об обязательном страховании гражданской ответственности владельцев транспортных средств»;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КП</w:t>
      </w:r>
      <w:r>
        <w:rPr>
          <w:rFonts w:ascii="PT Astra Serif" w:hAnsi="PT Astra Serif"/>
          <w:sz w:val="28"/>
          <w:szCs w:val="28"/>
          <w:vertAlign w:val="subscript"/>
        </w:rPr>
        <w:t>pi</w:t>
      </w:r>
      <w:r>
        <w:rPr>
          <w:rFonts w:ascii="PT Astra Serif" w:hAnsi="PT Astra Serif"/>
          <w:sz w:val="28"/>
          <w:szCs w:val="28"/>
        </w:rPr>
        <w:t xml:space="preserve"> –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43. Затраты на оплату труда независимых экспертов (З</w:t>
      </w:r>
      <w:r>
        <w:rPr>
          <w:rFonts w:ascii="PT Astra Serif" w:hAnsi="PT Astra Serif"/>
          <w:sz w:val="28"/>
          <w:szCs w:val="28"/>
          <w:vertAlign w:val="subscript"/>
        </w:rPr>
        <w:t>нэ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t>З</w:t>
      </w:r>
      <w:r>
        <w:rPr>
          <w:rFonts w:ascii="PT Astra Serif" w:hAnsi="PT Astra Serif" w:cs="Calibri"/>
          <w:sz w:val="28"/>
          <w:szCs w:val="28"/>
          <w:vertAlign w:val="subscript"/>
        </w:rPr>
        <w:t>нэ</w:t>
      </w:r>
      <w:r>
        <w:rPr>
          <w:rFonts w:ascii="PT Astra Serif" w:hAnsi="PT Astra Serif"/>
          <w:sz w:val="28"/>
          <w:szCs w:val="28"/>
        </w:rPr>
        <w:t xml:space="preserve"> = Q</w:t>
      </w:r>
      <w:r>
        <w:rPr>
          <w:rFonts w:ascii="PT Astra Serif" w:hAnsi="PT Astra Serif"/>
          <w:sz w:val="28"/>
          <w:szCs w:val="28"/>
          <w:vertAlign w:val="subscript"/>
        </w:rPr>
        <w:t>чз</w:t>
      </w:r>
      <w:r>
        <w:rPr>
          <w:rFonts w:ascii="PT Astra Serif" w:hAnsi="PT Astra Serif"/>
          <w:sz w:val="28"/>
          <w:szCs w:val="28"/>
        </w:rPr>
        <w:t xml:space="preserve"> x Q</w:t>
      </w:r>
      <w:r>
        <w:rPr>
          <w:rFonts w:ascii="PT Astra Serif" w:hAnsi="PT Astra Serif"/>
          <w:sz w:val="28"/>
          <w:szCs w:val="28"/>
          <w:vertAlign w:val="subscript"/>
        </w:rPr>
        <w:t>нэ</w:t>
      </w:r>
      <w:r>
        <w:rPr>
          <w:rFonts w:ascii="PT Astra Serif" w:hAnsi="PT Astra Serif"/>
          <w:sz w:val="28"/>
          <w:szCs w:val="28"/>
        </w:rPr>
        <w:t xml:space="preserve"> x S</w:t>
      </w:r>
      <w:r>
        <w:rPr>
          <w:rFonts w:ascii="PT Astra Serif" w:hAnsi="PT Astra Serif"/>
          <w:sz w:val="28"/>
          <w:szCs w:val="28"/>
          <w:vertAlign w:val="subscript"/>
        </w:rPr>
        <w:t>Hэ</w:t>
      </w:r>
      <w:r>
        <w:rPr>
          <w:rFonts w:ascii="PT Astra Serif" w:hAnsi="PT Astra Serif"/>
          <w:sz w:val="28"/>
          <w:szCs w:val="28"/>
        </w:rPr>
        <w:t xml:space="preserve"> x (1 + k</w:t>
      </w:r>
      <w:r>
        <w:rPr>
          <w:rFonts w:ascii="PT Astra Serif" w:hAnsi="PT Astra Serif"/>
          <w:sz w:val="28"/>
          <w:szCs w:val="28"/>
          <w:vertAlign w:val="subscript"/>
        </w:rPr>
        <w:t>стр</w:t>
      </w:r>
      <w:r>
        <w:rPr>
          <w:rFonts w:ascii="PT Astra Serif" w:hAnsi="PT Astra Serif"/>
          <w:sz w:val="28"/>
          <w:szCs w:val="28"/>
        </w:rPr>
        <w:t>), где: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чз</w:t>
      </w:r>
      <w:r>
        <w:rPr>
          <w:rFonts w:ascii="PT Astra Serif" w:hAnsi="PT Astra Serif"/>
          <w:sz w:val="28"/>
          <w:szCs w:val="28"/>
        </w:rPr>
        <w:t xml:space="preserve"> – 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нэ</w:t>
      </w:r>
      <w:r>
        <w:rPr>
          <w:rFonts w:ascii="PT Astra Serif" w:hAnsi="PT Astra Serif"/>
          <w:sz w:val="28"/>
          <w:szCs w:val="28"/>
        </w:rPr>
        <w:t xml:space="preserve"> –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S</w:t>
      </w:r>
      <w:r>
        <w:rPr>
          <w:rFonts w:ascii="PT Astra Serif" w:hAnsi="PT Astra Serif"/>
          <w:sz w:val="28"/>
          <w:szCs w:val="28"/>
          <w:vertAlign w:val="subscript"/>
        </w:rPr>
        <w:t>нэ</w:t>
      </w:r>
      <w:r>
        <w:rPr>
          <w:rFonts w:ascii="PT Astra Serif" w:hAnsi="PT Astra Serif"/>
          <w:sz w:val="28"/>
          <w:szCs w:val="28"/>
        </w:rPr>
        <w:t xml:space="preserve"> – ставка почасовой оплаты труда независимых экспертов в соответствии с действующим законодательством и иными нормативными правовыми актами;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k</w:t>
      </w:r>
      <w:r>
        <w:rPr>
          <w:rFonts w:ascii="PT Astra Serif" w:hAnsi="PT Astra Serif"/>
          <w:sz w:val="28"/>
          <w:szCs w:val="28"/>
          <w:vertAlign w:val="subscript"/>
        </w:rPr>
        <w:t>стр</w:t>
      </w:r>
      <w:r>
        <w:rPr>
          <w:rFonts w:ascii="PT Astra Serif" w:hAnsi="PT Astra Serif"/>
          <w:sz w:val="28"/>
          <w:szCs w:val="28"/>
        </w:rPr>
        <w:t xml:space="preserve"> –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44</w:t>
      </w:r>
      <w:r>
        <w:rPr>
          <w:rFonts w:ascii="PT Astra Serif" w:hAnsi="PT Astra Serif"/>
          <w:sz w:val="28"/>
          <w:szCs w:val="28"/>
        </w:rPr>
        <w:t>. Затраты на специальную оценку условий труда (З</w:t>
      </w:r>
      <w:r>
        <w:rPr>
          <w:rFonts w:ascii="PT Astra Serif" w:hAnsi="PT Astra Serif"/>
          <w:sz w:val="28"/>
          <w:szCs w:val="28"/>
          <w:vertAlign w:val="subscript"/>
        </w:rPr>
        <w:t>атт</w:t>
      </w:r>
      <w:r>
        <w:rPr>
          <w:rFonts w:ascii="PT Astra Serif" w:hAnsi="PT Astra Serif"/>
          <w:sz w:val="28"/>
          <w:szCs w:val="28"/>
        </w:rPr>
        <w:t xml:space="preserve">) определяются по следующей формуле: </w:t>
      </w: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847850" cy="523875"/>
            <wp:effectExtent l="0" t="0" r="0" b="0"/>
            <wp:docPr id="37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10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 атт</w:t>
      </w:r>
      <w:r>
        <w:rPr>
          <w:rFonts w:ascii="PT Astra Serif" w:hAnsi="PT Astra Serif"/>
          <w:sz w:val="28"/>
          <w:szCs w:val="28"/>
        </w:rPr>
        <w:t xml:space="preserve"> – количество i-х рабочих мест, подлежащих специальной оценке;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 атт</w:t>
      </w:r>
      <w:r>
        <w:rPr>
          <w:rFonts w:ascii="PT Astra Serif" w:hAnsi="PT Astra Serif"/>
          <w:sz w:val="28"/>
          <w:szCs w:val="28"/>
        </w:rPr>
        <w:t xml:space="preserve"> – цена проведения специальной оценки одного i-го рабочего места.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 xml:space="preserve">Расчет производится в соответствии с нормативами, установленными в таблице 18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.</w:t>
      </w: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b w:val="0"/>
          <w:bCs w:val="0"/>
          <w:sz w:val="28"/>
          <w:szCs w:val="28"/>
        </w:rPr>
      </w:pP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b w:val="0"/>
          <w:bCs w:val="0"/>
          <w:sz w:val="28"/>
          <w:szCs w:val="28"/>
          <w:highlight w:val="none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 xml:space="preserve">11. Затраты на приобретение основных средств, </w:t>
        <w:br/>
        <w:t>не отнесенные к затратам на приобретение основных средств в рамках затрат на информационно-коммуникационные технологии</w:t>
      </w:r>
    </w:p>
    <w:p>
      <w:pPr>
        <w:widowControl w:val="0"/>
        <w:spacing w:before="0" w:after="0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45. 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 </w:t>
      </w:r>
      <w:r>
        <w:drawing>
          <wp:inline distT="0" distB="0" distL="0" distR="0">
            <wp:extent cx="400050" cy="266700"/>
            <wp:effectExtent l="0" t="0" r="0" b="0"/>
            <wp:docPr id="38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10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6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sz w:val="28"/>
          <w:szCs w:val="28"/>
        </w:rPr>
        <w:t>,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762125" cy="266700"/>
            <wp:effectExtent l="0" t="0" r="0" b="0"/>
            <wp:docPr id="39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10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6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ам</w:t>
      </w:r>
      <w:r>
        <w:rPr>
          <w:rFonts w:ascii="PT Astra Serif" w:hAnsi="PT Astra Serif"/>
          <w:sz w:val="28"/>
          <w:szCs w:val="28"/>
        </w:rPr>
        <w:t xml:space="preserve"> – затраты на приобретение транспортных средств;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пмеб</w:t>
      </w:r>
      <w:r>
        <w:rPr>
          <w:rFonts w:ascii="PT Astra Serif" w:hAnsi="PT Astra Serif"/>
          <w:sz w:val="28"/>
          <w:szCs w:val="28"/>
        </w:rPr>
        <w:t xml:space="preserve"> – затраты на приобретение мебели;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ск</w:t>
      </w:r>
      <w:r>
        <w:rPr>
          <w:rFonts w:ascii="PT Astra Serif" w:hAnsi="PT Astra Serif"/>
          <w:sz w:val="28"/>
          <w:szCs w:val="28"/>
        </w:rPr>
        <w:t xml:space="preserve"> – затраты на приобретение систем кондиционирования;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</w:t>
      </w:r>
      <w:r>
        <w:rPr>
          <w:rFonts w:ascii="PT Astra Serif" w:hAnsi="PT Astra Serif"/>
          <w:sz w:val="28"/>
          <w:szCs w:val="28"/>
        </w:rPr>
        <w:t>затраты на приобретение транспортных средств (З</w:t>
      </w:r>
      <w:r>
        <w:rPr>
          <w:rFonts w:ascii="PT Astra Serif" w:hAnsi="PT Astra Serif"/>
          <w:sz w:val="28"/>
          <w:szCs w:val="28"/>
          <w:vertAlign w:val="subscript"/>
        </w:rPr>
        <w:t>ам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619250" cy="476250"/>
            <wp:effectExtent l="0" t="0" r="0" b="0"/>
            <wp:docPr id="40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10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iам</w:t>
      </w:r>
      <w:r>
        <w:rPr>
          <w:rFonts w:ascii="PT Astra Serif" w:hAnsi="PT Astra Serif"/>
          <w:sz w:val="28"/>
          <w:szCs w:val="28"/>
        </w:rPr>
        <w:t xml:space="preserve"> – к</w:t>
      </w:r>
      <w:r>
        <w:rPr>
          <w:rFonts w:ascii="PT Astra Serif" w:hAnsi="PT Astra Serif"/>
          <w:sz w:val="28"/>
          <w:szCs w:val="28"/>
        </w:rPr>
        <w:t xml:space="preserve">оличество i-х транспортных средств в соответствии с нормативами, установленными в таблице 18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iам</w:t>
      </w:r>
      <w:r>
        <w:rPr>
          <w:rFonts w:ascii="PT Astra Serif" w:hAnsi="PT Astra Serif"/>
          <w:sz w:val="28"/>
          <w:szCs w:val="28"/>
        </w:rPr>
        <w:t xml:space="preserve"> – цена приобретения i-го транспортного средства в соответствии с нормативами, установленными в таблице 19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затраты на приобретение мебели (З</w:t>
      </w:r>
      <w:r>
        <w:rPr>
          <w:rFonts w:ascii="PT Astra Serif" w:hAnsi="PT Astra Serif"/>
          <w:sz w:val="28"/>
          <w:szCs w:val="28"/>
          <w:vertAlign w:val="subscript"/>
        </w:rPr>
        <w:t>пмеб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924050" cy="476250"/>
            <wp:effectExtent l="0" t="0" r="0" b="0"/>
            <wp:docPr id="41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10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iпмеб</w:t>
      </w:r>
      <w:r>
        <w:rPr>
          <w:rFonts w:ascii="PT Astra Serif" w:hAnsi="PT Astra Serif"/>
          <w:sz w:val="28"/>
          <w:szCs w:val="28"/>
        </w:rPr>
        <w:t xml:space="preserve"> – количество i-х предметов мебели в соответствии с нормативами, установленными в таблице 20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iпмеб</w:t>
      </w:r>
      <w:r>
        <w:rPr>
          <w:rFonts w:ascii="PT Astra Serif" w:hAnsi="PT Astra Serif"/>
          <w:sz w:val="28"/>
          <w:szCs w:val="28"/>
        </w:rPr>
        <w:t xml:space="preserve"> – цена i-го предмета мебели в соответствии с нормативами, установленными в табл</w:t>
      </w:r>
      <w:r>
        <w:rPr>
          <w:rFonts w:ascii="PT Astra Serif" w:hAnsi="PT Astra Serif"/>
          <w:sz w:val="28"/>
          <w:szCs w:val="28"/>
          <w:highlight w:val="none"/>
        </w:rPr>
        <w:t>иц</w:t>
      </w:r>
      <w:r>
        <w:rPr>
          <w:rFonts w:ascii="PT Astra Serif" w:hAnsi="PT Astra Serif"/>
          <w:sz w:val="28"/>
          <w:szCs w:val="28"/>
          <w:highlight w:val="none"/>
        </w:rPr>
        <w:t>е 20 Пр</w:t>
      </w:r>
      <w:r>
        <w:rPr>
          <w:rFonts w:ascii="PT Astra Serif" w:hAnsi="PT Astra Serif"/>
          <w:sz w:val="28"/>
          <w:szCs w:val="28"/>
          <w:highlight w:val="none"/>
        </w:rPr>
        <w:t xml:space="preserve">иложения № 2 </w:t>
      </w:r>
      <w:r>
        <w:rPr>
          <w:rFonts w:ascii="PT Astra Serif" w:hAnsi="PT Astra Serif"/>
          <w:sz w:val="28"/>
          <w:szCs w:val="28"/>
          <w:highlight w:val="none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bCs/>
          <w:sz w:val="28"/>
          <w:szCs w:val="28"/>
          <w:highlight w:val="none"/>
        </w:rPr>
      </w:pPr>
      <w:r>
        <w:rPr>
          <w:rFonts w:ascii="PT Astra Serif" w:hAnsi="PT Astra Serif"/>
          <w:bCs/>
          <w:sz w:val="28"/>
          <w:szCs w:val="28"/>
          <w:highlight w:val="none"/>
        </w:rPr>
        <w:t>3) затраты на приобретение систем кондиционирования (З</w:t>
      </w:r>
      <w:r>
        <w:rPr>
          <w:rFonts w:ascii="PT Astra Serif" w:hAnsi="PT Astra Serif"/>
          <w:bCs/>
          <w:sz w:val="28"/>
          <w:szCs w:val="28"/>
          <w:highlight w:val="none"/>
          <w:vertAlign w:val="subscript"/>
        </w:rPr>
        <w:t>ск</w:t>
      </w:r>
      <w:r>
        <w:rPr>
          <w:rFonts w:ascii="PT Astra Serif" w:hAnsi="PT Astra Serif"/>
          <w:bCs/>
          <w:sz w:val="28"/>
          <w:szCs w:val="28"/>
          <w:highlight w:val="none"/>
        </w:rPr>
        <w:t>) определяются по следующей формуле:</w:t>
      </w: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bCs/>
          <w:sz w:val="28"/>
          <w:szCs w:val="28"/>
          <w:highlight w:val="none"/>
        </w:rPr>
      </w:pPr>
      <w:r>
        <w:rPr>
          <w:highlight w:val="none"/>
        </w:rPr>
        <w:drawing>
          <wp:inline distT="0" distB="0" distL="0" distR="0">
            <wp:extent cx="1619250" cy="523875"/>
            <wp:effectExtent l="0" t="0" r="0" b="0"/>
            <wp:docPr id="42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Рисунок 105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bCs/>
          <w:sz w:val="28"/>
          <w:szCs w:val="28"/>
          <w:highlight w:val="none"/>
        </w:rPr>
      </w:pPr>
      <w:r>
        <w:rPr>
          <w:rFonts w:ascii="PT Astra Serif" w:hAnsi="PT Astra Serif"/>
          <w:bCs/>
          <w:sz w:val="28"/>
          <w:szCs w:val="28"/>
          <w:highlight w:val="none"/>
        </w:rPr>
        <w:t>Q</w:t>
      </w:r>
      <w:r>
        <w:rPr>
          <w:rFonts w:ascii="PT Astra Serif" w:hAnsi="PT Astra Serif"/>
          <w:bCs/>
          <w:sz w:val="28"/>
          <w:szCs w:val="28"/>
          <w:highlight w:val="none"/>
          <w:vertAlign w:val="subscript"/>
        </w:rPr>
        <w:t>i с</w:t>
      </w:r>
      <w:r>
        <w:rPr>
          <w:rFonts w:ascii="PT Astra Serif" w:hAnsi="PT Astra Serif"/>
          <w:bCs/>
          <w:sz w:val="28"/>
          <w:szCs w:val="28"/>
          <w:highlight w:val="none"/>
        </w:rPr>
        <w:t xml:space="preserve"> – количество i-х систем кондиционирования;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bCs/>
          <w:sz w:val="28"/>
          <w:szCs w:val="28"/>
          <w:highlight w:val="none"/>
        </w:rPr>
      </w:pPr>
      <w:r>
        <w:rPr>
          <w:rFonts w:ascii="PT Astra Serif" w:hAnsi="PT Astra Serif"/>
          <w:bCs/>
          <w:sz w:val="28"/>
          <w:szCs w:val="28"/>
          <w:highlight w:val="none"/>
        </w:rPr>
        <w:t>P</w:t>
      </w:r>
      <w:r>
        <w:rPr>
          <w:rFonts w:ascii="PT Astra Serif" w:hAnsi="PT Astra Serif"/>
          <w:bCs/>
          <w:sz w:val="28"/>
          <w:szCs w:val="28"/>
          <w:highlight w:val="none"/>
          <w:vertAlign w:val="subscript"/>
        </w:rPr>
        <w:t>i с</w:t>
      </w:r>
      <w:r>
        <w:rPr>
          <w:rFonts w:ascii="PT Astra Serif" w:hAnsi="PT Astra Serif"/>
          <w:bCs/>
          <w:sz w:val="28"/>
          <w:szCs w:val="28"/>
          <w:highlight w:val="none"/>
        </w:rPr>
        <w:t xml:space="preserve"> – цена одной системы кондиционирования.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>Расчет производится в соответствии с нормативами согласно табл</w:t>
      </w:r>
      <w:r>
        <w:rPr>
          <w:rFonts w:ascii="PT Astra Serif" w:hAnsi="PT Astra Serif"/>
          <w:sz w:val="28"/>
          <w:szCs w:val="28"/>
          <w:highlight w:val="none"/>
        </w:rPr>
        <w:t xml:space="preserve">ице 21 </w:t>
      </w:r>
      <w:r>
        <w:rPr>
          <w:rFonts w:ascii="PT Astra Serif" w:hAnsi="PT Astra Serif"/>
          <w:sz w:val="28"/>
          <w:szCs w:val="28"/>
          <w:highlight w:val="none"/>
        </w:rPr>
        <w:t xml:space="preserve">Приложения № 2 </w:t>
      </w:r>
      <w:r>
        <w:rPr>
          <w:rFonts w:ascii="PT Astra Serif" w:hAnsi="PT Astra Serif"/>
          <w:sz w:val="28"/>
          <w:szCs w:val="28"/>
          <w:highlight w:val="none"/>
        </w:rPr>
        <w:t>к настоящему приказу</w:t>
      </w:r>
      <w:r>
        <w:rPr>
          <w:rFonts w:ascii="PT Astra Serif" w:hAnsi="PT Astra Serif"/>
          <w:sz w:val="28"/>
          <w:szCs w:val="28"/>
          <w:highlight w:val="none"/>
        </w:rPr>
        <w:t>.</w:t>
      </w:r>
    </w:p>
    <w:p>
      <w:pPr>
        <w:widowControl w:val="0"/>
        <w:spacing w:before="0" w:after="0"/>
        <w:ind w:firstLine="851"/>
        <w:contextualSpacing/>
        <w:jc w:val="center"/>
        <w:rPr>
          <w:rFonts w:ascii="PT Astra Serif" w:hAnsi="PT Astra Serif"/>
          <w:b w:val="0"/>
          <w:bCs w:val="0"/>
          <w:sz w:val="28"/>
          <w:szCs w:val="28"/>
        </w:rPr>
      </w:pP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 xml:space="preserve">12. Затраты на приобретение материальных запасов, </w:t>
        <w:br/>
        <w:t>не отнесенные к затратам на приобретение материальных запасов в рамках затрат на информационно-коммуникационные технологии</w:t>
      </w:r>
    </w:p>
    <w:p>
      <w:pPr>
        <w:widowControl w:val="0"/>
        <w:spacing w:before="0" w:after="0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46. 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Змз, определяются по следующей формуле:</w:t>
      </w:r>
    </w:p>
    <w:p>
      <w:pPr>
        <w:widowControl w:val="0"/>
        <w:spacing w:before="0" w:after="0"/>
        <w:ind w:firstLine="851"/>
        <w:contextualSpacing/>
        <w:jc w:val="center"/>
        <w:rPr>
          <w:rFonts w:ascii="PT Astra Serif" w:hAnsi="PT Astra Serif"/>
          <w:sz w:val="28"/>
          <w:szCs w:val="28"/>
        </w:rPr>
      </w:pP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мз</w:t>
      </w:r>
      <w:r>
        <w:rPr>
          <w:rFonts w:ascii="PT Astra Serif" w:hAnsi="PT Astra Serif"/>
          <w:sz w:val="28"/>
          <w:szCs w:val="28"/>
        </w:rPr>
        <w:t xml:space="preserve"> = З</w:t>
      </w:r>
      <w:r>
        <w:rPr>
          <w:rFonts w:ascii="PT Astra Serif" w:hAnsi="PT Astra Serif"/>
          <w:sz w:val="28"/>
          <w:szCs w:val="28"/>
          <w:vertAlign w:val="subscript"/>
        </w:rPr>
        <w:t>канц</w:t>
      </w:r>
      <w:r>
        <w:rPr>
          <w:rFonts w:ascii="PT Astra Serif" w:hAnsi="PT Astra Serif"/>
          <w:sz w:val="28"/>
          <w:szCs w:val="28"/>
        </w:rPr>
        <w:t xml:space="preserve"> + З хп + З</w:t>
      </w:r>
      <w:r>
        <w:rPr>
          <w:rFonts w:ascii="PT Astra Serif" w:hAnsi="PT Astra Serif"/>
          <w:sz w:val="28"/>
          <w:szCs w:val="28"/>
          <w:vertAlign w:val="subscript"/>
        </w:rPr>
        <w:t>гсм</w:t>
      </w:r>
      <w:r>
        <w:rPr>
          <w:rFonts w:ascii="PT Astra Serif" w:hAnsi="PT Astra Serif"/>
          <w:sz w:val="28"/>
          <w:szCs w:val="28"/>
        </w:rPr>
        <w:t xml:space="preserve"> + З</w:t>
      </w:r>
      <w:r>
        <w:rPr>
          <w:rFonts w:ascii="PT Astra Serif" w:hAnsi="PT Astra Serif"/>
          <w:sz w:val="28"/>
          <w:szCs w:val="28"/>
          <w:vertAlign w:val="subscript"/>
        </w:rPr>
        <w:t>зпа</w:t>
      </w:r>
      <w:r>
        <w:rPr>
          <w:rFonts w:ascii="PT Astra Serif" w:hAnsi="PT Astra Serif"/>
          <w:sz w:val="28"/>
          <w:szCs w:val="28"/>
        </w:rPr>
        <w:t>, где:</w:t>
      </w:r>
    </w:p>
    <w:p>
      <w:pPr>
        <w:widowControl w:val="0"/>
        <w:spacing w:before="0" w:after="0"/>
        <w:ind w:firstLine="851"/>
        <w:contextualSpacing/>
        <w:jc w:val="center"/>
        <w:rPr>
          <w:rFonts w:ascii="PT Astra Serif" w:hAnsi="PT Astra Serif"/>
          <w:sz w:val="28"/>
          <w:szCs w:val="28"/>
        </w:rPr>
      </w:pP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канц</w:t>
      </w:r>
      <w:r>
        <w:rPr>
          <w:rFonts w:ascii="PT Astra Serif" w:hAnsi="PT Astra Serif"/>
          <w:sz w:val="28"/>
          <w:szCs w:val="28"/>
        </w:rPr>
        <w:t xml:space="preserve"> – затраты на приобретение канцелярских принадлежностей;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хп</w:t>
      </w:r>
      <w:r>
        <w:rPr>
          <w:rFonts w:ascii="PT Astra Serif" w:hAnsi="PT Astra Serif"/>
          <w:sz w:val="28"/>
          <w:szCs w:val="28"/>
        </w:rPr>
        <w:t xml:space="preserve"> – затраты на приобретение хозяйственных товаров и принадлежностей;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гсм</w:t>
      </w:r>
      <w:r>
        <w:rPr>
          <w:rFonts w:ascii="PT Astra Serif" w:hAnsi="PT Astra Serif"/>
          <w:sz w:val="28"/>
          <w:szCs w:val="28"/>
        </w:rPr>
        <w:t xml:space="preserve"> – затраты на приобретение горюче-смазочных материалов;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зпа</w:t>
      </w:r>
      <w:r>
        <w:rPr>
          <w:rFonts w:ascii="PT Astra Serif" w:hAnsi="PT Astra Serif"/>
          <w:sz w:val="28"/>
          <w:szCs w:val="28"/>
        </w:rPr>
        <w:t xml:space="preserve"> – затраты на приобретение товаров для транспортных средств;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затраты на приобретение канцелярских принадлежностей (З</w:t>
      </w:r>
      <w:r>
        <w:rPr>
          <w:rFonts w:ascii="PT Astra Serif" w:hAnsi="PT Astra Serif"/>
          <w:sz w:val="28"/>
          <w:szCs w:val="28"/>
          <w:vertAlign w:val="subscript"/>
        </w:rPr>
        <w:t>канц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2266950" cy="476250"/>
            <wp:effectExtent l="0" t="0" r="0" b="0"/>
            <wp:docPr id="43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Рисунок 10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N</w:t>
      </w:r>
      <w:r>
        <w:rPr>
          <w:rFonts w:ascii="PT Astra Serif" w:hAnsi="PT Astra Serif"/>
          <w:sz w:val="28"/>
          <w:szCs w:val="28"/>
          <w:vertAlign w:val="subscript"/>
        </w:rPr>
        <w:t>iканц</w:t>
      </w:r>
      <w:r>
        <w:rPr>
          <w:rFonts w:ascii="PT Astra Serif" w:hAnsi="PT Astra Serif"/>
          <w:sz w:val="28"/>
          <w:szCs w:val="28"/>
        </w:rPr>
        <w:t xml:space="preserve"> – количество i-го предмета канцелярских принадлежностей в соответствии с нормативами, установленными в таблице 22 Приложения № 2 к настоящему приказу;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</w:t>
      </w:r>
      <w:r>
        <w:rPr>
          <w:rFonts w:ascii="PT Astra Serif" w:hAnsi="PT Astra Serif"/>
          <w:sz w:val="28"/>
          <w:szCs w:val="28"/>
          <w:vertAlign w:val="subscript"/>
        </w:rPr>
        <w:t>оп</w:t>
      </w:r>
      <w:r>
        <w:rPr>
          <w:rFonts w:ascii="PT Astra Serif" w:hAnsi="PT Astra Serif"/>
          <w:sz w:val="28"/>
          <w:szCs w:val="28"/>
        </w:rPr>
        <w:t xml:space="preserve"> – расчетная численность работников, определяемая в соответствии с пункто</w:t>
      </w:r>
      <w:r>
        <w:rPr>
          <w:rFonts w:ascii="PT Astra Serif" w:hAnsi="PT Astra Serif"/>
          <w:sz w:val="28"/>
          <w:szCs w:val="28"/>
          <w:highlight w:val="none"/>
        </w:rPr>
        <w:t xml:space="preserve">м </w:t>
      </w:r>
      <w:r>
        <w:rPr>
          <w:rFonts w:ascii="PT Astra Serif" w:hAnsi="PT Astra Serif"/>
          <w:sz w:val="28"/>
          <w:szCs w:val="28"/>
          <w:highlight w:val="none"/>
        </w:rPr>
        <w:t>7</w:t>
      </w:r>
      <w:r>
        <w:rPr>
          <w:rFonts w:ascii="PT Astra Serif" w:hAnsi="PT Astra Serif"/>
          <w:sz w:val="28"/>
          <w:szCs w:val="28"/>
          <w:highlight w:val="none"/>
        </w:rPr>
        <w:t xml:space="preserve"> настоящ</w:t>
      </w:r>
      <w:r>
        <w:rPr>
          <w:rFonts w:ascii="PT Astra Serif" w:hAnsi="PT Astra Serif"/>
          <w:sz w:val="28"/>
          <w:szCs w:val="28"/>
          <w:highlight w:val="none"/>
        </w:rPr>
        <w:t xml:space="preserve">их </w:t>
      </w:r>
      <w:r>
        <w:rPr>
          <w:rFonts w:ascii="PT Astra Serif" w:hAnsi="PT Astra Serif"/>
          <w:sz w:val="28"/>
          <w:szCs w:val="28"/>
        </w:rPr>
        <w:t>нормативных затрат;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iканц</w:t>
      </w:r>
      <w:r>
        <w:rPr>
          <w:rFonts w:ascii="PT Astra Serif" w:hAnsi="PT Astra Serif"/>
          <w:sz w:val="28"/>
          <w:szCs w:val="28"/>
        </w:rPr>
        <w:t xml:space="preserve"> – цена i-го предмета канцелярских принадлежностей в соответствии с нормативами, установленными в таблице 22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 затраты на приобретение штампов и печатей (Зшп) определяются по формуле:</w:t>
      </w: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шп</w:t>
      </w:r>
      <w:r>
        <w:rPr>
          <w:rFonts w:ascii="PT Astra Serif" w:hAnsi="PT Astra Serif"/>
          <w:sz w:val="28"/>
          <w:szCs w:val="28"/>
        </w:rPr>
        <w:t xml:space="preserve"> = Q</w:t>
      </w:r>
      <w:r>
        <w:rPr>
          <w:rFonts w:ascii="PT Astra Serif" w:hAnsi="PT Astra Serif"/>
          <w:sz w:val="28"/>
          <w:szCs w:val="28"/>
          <w:vertAlign w:val="subscript"/>
        </w:rPr>
        <w:t>шп</w:t>
      </w:r>
      <w:r>
        <w:rPr>
          <w:rFonts w:ascii="PT Astra Serif" w:hAnsi="PT Astra Serif"/>
          <w:sz w:val="28"/>
          <w:szCs w:val="28"/>
        </w:rPr>
        <w:t xml:space="preserve"> x Р</w:t>
      </w:r>
      <w:r>
        <w:rPr>
          <w:rFonts w:ascii="PT Astra Serif" w:hAnsi="PT Astra Serif"/>
          <w:sz w:val="28"/>
          <w:szCs w:val="28"/>
          <w:vertAlign w:val="subscript"/>
        </w:rPr>
        <w:t>шп</w:t>
      </w:r>
      <w:r>
        <w:rPr>
          <w:rFonts w:ascii="PT Astra Serif" w:hAnsi="PT Astra Serif"/>
          <w:sz w:val="28"/>
          <w:szCs w:val="28"/>
        </w:rPr>
        <w:t>, где: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шп</w:t>
      </w:r>
      <w:r>
        <w:rPr>
          <w:rFonts w:ascii="PT Astra Serif" w:hAnsi="PT Astra Serif"/>
          <w:sz w:val="28"/>
          <w:szCs w:val="28"/>
        </w:rPr>
        <w:t xml:space="preserve"> – количество печатей и штампов, но не более 5 единиц в год для Департамента;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шп</w:t>
      </w:r>
      <w:r>
        <w:rPr>
          <w:rFonts w:ascii="PT Astra Serif" w:hAnsi="PT Astra Serif"/>
          <w:sz w:val="28"/>
          <w:szCs w:val="28"/>
        </w:rPr>
        <w:t xml:space="preserve"> – стоимость изготовления печатей и штампов, но не более 30 000,00 руб.;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>) затраты на приобретение горюче-смазочных материалов (З</w:t>
      </w:r>
      <w:r>
        <w:rPr>
          <w:rFonts w:ascii="PT Astra Serif" w:hAnsi="PT Astra Serif"/>
          <w:sz w:val="28"/>
          <w:szCs w:val="28"/>
          <w:vertAlign w:val="subscript"/>
        </w:rPr>
        <w:t>гсм</w:t>
      </w:r>
      <w:r>
        <w:rPr>
          <w:rFonts w:ascii="PT Astra Serif" w:hAnsi="PT Astra Serif"/>
          <w:sz w:val="28"/>
          <w:szCs w:val="28"/>
        </w:rPr>
        <w:t>) определяются по следующей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2209800" cy="476250"/>
            <wp:effectExtent l="0" t="0" r="0" b="0"/>
            <wp:docPr id="44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11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H</w:t>
      </w:r>
      <w:r>
        <w:rPr>
          <w:rFonts w:ascii="PT Astra Serif" w:hAnsi="PT Astra Serif"/>
          <w:sz w:val="28"/>
          <w:szCs w:val="28"/>
          <w:vertAlign w:val="subscript"/>
        </w:rPr>
        <w:t>iгсм</w:t>
      </w:r>
      <w:r>
        <w:rPr>
          <w:rFonts w:ascii="PT Astra Serif" w:hAnsi="PT Astra Serif"/>
          <w:sz w:val="28"/>
          <w:szCs w:val="28"/>
        </w:rPr>
        <w:t xml:space="preserve"> – норма расхода топлива на 100 километров пробега i-го транспортного средства согласно методическим </w:t>
      </w:r>
      <w:hyperlink r:id="rId54" w:tooltip="consultantplus://offline/ref=8A65FFC8AA2074C91096490A103E3C2602B324473AF8D400961038D28D15DB8BC200F8CE396D74FCXFo3I" w:history="1">
        <w:r>
          <w:rPr>
            <w:rFonts w:ascii="PT Astra Serif" w:hAnsi="PT Astra Serif"/>
            <w:sz w:val="28"/>
            <w:szCs w:val="28"/>
          </w:rPr>
          <w:t>рекомендациям</w:t>
        </w:r>
      </w:hyperlink>
      <w:r>
        <w:rPr>
          <w:rFonts w:ascii="PT Astra Serif" w:hAnsi="PT Astra Serif"/>
          <w:sz w:val="28"/>
          <w:szCs w:val="28"/>
        </w:rPr>
        <w:t xml:space="preserve"> «Нормы расхода топлив и смазочных материалов на автомобильном транспорте», предусмотренным приложением к распоряжению Министерства транспорта Российской Федерации от 14.03.2008 № АМ-23-р;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iгсм</w:t>
      </w:r>
      <w:r>
        <w:rPr>
          <w:rFonts w:ascii="PT Astra Serif" w:hAnsi="PT Astra Serif"/>
          <w:sz w:val="28"/>
          <w:szCs w:val="28"/>
        </w:rPr>
        <w:t xml:space="preserve"> – цена одного литра горюче-смазочного материала по i-му транспортному средству;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N</w:t>
      </w:r>
      <w:r>
        <w:rPr>
          <w:rFonts w:ascii="PT Astra Serif" w:hAnsi="PT Astra Serif"/>
          <w:sz w:val="28"/>
          <w:szCs w:val="28"/>
          <w:vertAlign w:val="subscript"/>
        </w:rPr>
        <w:t>iгсм</w:t>
      </w:r>
      <w:r>
        <w:rPr>
          <w:rFonts w:ascii="PT Astra Serif" w:hAnsi="PT Astra Serif"/>
          <w:sz w:val="28"/>
          <w:szCs w:val="28"/>
        </w:rPr>
        <w:t xml:space="preserve"> – километраж использования </w:t>
      </w:r>
      <w:r>
        <w:rPr>
          <w:rFonts w:ascii="PT Astra Serif" w:hAnsi="PT Astra Serif"/>
          <w:sz w:val="28"/>
          <w:szCs w:val="28"/>
          <w:lang w:val="en-US"/>
        </w:rPr>
        <w:t>i</w:t>
      </w:r>
      <w:r>
        <w:rPr>
          <w:rFonts w:ascii="PT Astra Serif" w:hAnsi="PT Astra Serif"/>
          <w:sz w:val="28"/>
          <w:szCs w:val="28"/>
        </w:rPr>
        <w:t>-го транспортного средства в очередном финансовом году;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 затраты на приобретение товаров для транспортных средств определяются по фактическим затратам в отчетном финансовом году с учетом нормативов затрат на приобретение служебного легкового автотранспорта;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 затраты на приобретение и установку жалюзи для окон определяются по формуле:</w:t>
      </w: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  <w:vertAlign w:val="subscript"/>
        </w:rPr>
      </w:pP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  <w:vertAlign w:val="subscript"/>
        </w:rPr>
        <w:t>жл</w:t>
      </w:r>
      <w:r>
        <w:rPr>
          <w:rFonts w:ascii="PT Astra Serif" w:hAnsi="PT Astra Serif"/>
          <w:sz w:val="28"/>
          <w:szCs w:val="28"/>
        </w:rPr>
        <w:t xml:space="preserve"> = </w:t>
      </w:r>
      <w:r>
        <w:rPr>
          <w:rFonts w:ascii="PT Astra Serif" w:hAnsi="PT Astra Serif"/>
          <w:sz w:val="28"/>
          <w:szCs w:val="28"/>
          <w:lang w:val="en-US"/>
        </w:rPr>
        <w:t>P</w:t>
      </w:r>
      <w:r>
        <w:rPr>
          <w:rFonts w:ascii="PT Astra Serif" w:hAnsi="PT Astra Serif"/>
          <w:sz w:val="28"/>
          <w:szCs w:val="28"/>
          <w:vertAlign w:val="subscript"/>
          <w:lang w:val="en-US"/>
        </w:rPr>
        <w:t>i</w:t>
      </w:r>
      <w:r>
        <w:rPr>
          <w:rFonts w:ascii="PT Astra Serif" w:hAnsi="PT Astra Serif"/>
          <w:sz w:val="28"/>
          <w:szCs w:val="28"/>
          <w:vertAlign w:val="subscript"/>
        </w:rPr>
        <w:t xml:space="preserve">мкв + </w:t>
      </w:r>
      <w:r>
        <w:rPr>
          <w:rFonts w:ascii="PT Astra Serif" w:hAnsi="PT Astra Serif"/>
          <w:sz w:val="28"/>
          <w:szCs w:val="28"/>
          <w:lang w:val="en-US"/>
        </w:rPr>
        <w:t>N</w:t>
      </w:r>
      <w:r>
        <w:rPr>
          <w:rFonts w:ascii="PT Astra Serif" w:hAnsi="PT Astra Serif"/>
          <w:sz w:val="28"/>
          <w:szCs w:val="28"/>
          <w:vertAlign w:val="subscript"/>
          <w:lang w:val="en-US"/>
        </w:rPr>
        <w:t>i</w:t>
      </w:r>
      <w:r>
        <w:rPr>
          <w:rFonts w:ascii="PT Astra Serif" w:hAnsi="PT Astra Serif"/>
          <w:sz w:val="28"/>
          <w:szCs w:val="28"/>
          <w:vertAlign w:val="subscript"/>
        </w:rPr>
        <w:t xml:space="preserve">мкв, </w:t>
      </w:r>
      <w:r>
        <w:rPr>
          <w:rFonts w:ascii="PT Astra Serif" w:hAnsi="PT Astra Serif"/>
          <w:sz w:val="28"/>
          <w:szCs w:val="28"/>
        </w:rPr>
        <w:t>где: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val="en-US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 xml:space="preserve">мкв – </w:t>
      </w:r>
      <w:r>
        <w:rPr>
          <w:rFonts w:ascii="PT Astra Serif" w:hAnsi="PT Astra Serif"/>
          <w:sz w:val="28"/>
          <w:szCs w:val="28"/>
        </w:rPr>
        <w:t>цена за 1 м</w:t>
      </w:r>
      <w:r>
        <w:rPr>
          <w:rFonts w:ascii="PT Astra Serif" w:hAnsi="PT Astra Serif"/>
          <w:sz w:val="28"/>
          <w:szCs w:val="28"/>
          <w:vertAlign w:val="superscript"/>
        </w:rPr>
        <w:t>2</w:t>
      </w:r>
      <w:r>
        <w:rPr>
          <w:rFonts w:ascii="PT Astra Serif" w:hAnsi="PT Astra Serif"/>
          <w:sz w:val="28"/>
          <w:szCs w:val="28"/>
        </w:rPr>
        <w:t xml:space="preserve"> приобретения и установки жалюзи для окон;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val="en-US"/>
        </w:rPr>
        <w:t>N</w:t>
      </w:r>
      <w:r>
        <w:rPr>
          <w:rFonts w:ascii="PT Astra Serif" w:hAnsi="PT Astra Serif"/>
          <w:sz w:val="28"/>
          <w:szCs w:val="28"/>
          <w:vertAlign w:val="subscript"/>
        </w:rPr>
        <w:t xml:space="preserve">мкв </w:t>
      </w:r>
      <w:r>
        <w:rPr>
          <w:rFonts w:ascii="PT Astra Serif" w:hAnsi="PT Astra Serif"/>
          <w:sz w:val="28"/>
          <w:szCs w:val="28"/>
        </w:rPr>
        <w:t>– количество м</w:t>
      </w:r>
      <w:r>
        <w:rPr>
          <w:rFonts w:ascii="PT Astra Serif" w:hAnsi="PT Astra Serif"/>
          <w:sz w:val="28"/>
          <w:szCs w:val="28"/>
          <w:vertAlign w:val="superscript"/>
        </w:rPr>
        <w:t>2</w:t>
      </w:r>
      <w:r>
        <w:rPr>
          <w:rFonts w:ascii="PT Astra Serif" w:hAnsi="PT Astra Serif"/>
          <w:sz w:val="28"/>
          <w:szCs w:val="28"/>
        </w:rPr>
        <w:t xml:space="preserve"> приобретения и установки жалюзи для окон.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Расчет производится в соответствии с нормативами согласно таблице 24 Приложения № 2 </w:t>
      </w:r>
      <w:r>
        <w:rPr>
          <w:rFonts w:ascii="PT Astra Serif" w:hAnsi="PT Astra Serif"/>
          <w:sz w:val="28"/>
          <w:szCs w:val="28"/>
        </w:rPr>
        <w:t>к настоящему приказу</w:t>
      </w:r>
      <w:r>
        <w:rPr>
          <w:rFonts w:ascii="PT Astra Serif" w:hAnsi="PT Astra Serif"/>
          <w:sz w:val="28"/>
          <w:szCs w:val="28"/>
        </w:rPr>
        <w:t>.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b w:val="0"/>
          <w:bCs w:val="0"/>
          <w:sz w:val="28"/>
          <w:szCs w:val="28"/>
        </w:rPr>
      </w:pP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>13. Затраты на дополнительное профессиональное образование</w:t>
      </w:r>
    </w:p>
    <w:p>
      <w:pPr>
        <w:widowControl w:val="0"/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47. Затраты на приобретение образовательных услуг по профессиональной переподготовке и повышению квалификации (З</w:t>
      </w:r>
      <w:r>
        <w:rPr>
          <w:rFonts w:ascii="PT Astra Serif" w:hAnsi="PT Astra Serif"/>
          <w:sz w:val="28"/>
          <w:szCs w:val="28"/>
          <w:vertAlign w:val="subscript"/>
        </w:rPr>
        <w:t>дпо</w:t>
      </w:r>
      <w:r>
        <w:rPr>
          <w:rFonts w:ascii="PT Astra Serif" w:hAnsi="PT Astra Serif"/>
          <w:sz w:val="28"/>
          <w:szCs w:val="28"/>
        </w:rPr>
        <w:t>) определяются по фактическим затратам в отчетном финансовом году и рассчитываются по следующей формуле:</w:t>
      </w: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drawing>
          <wp:inline distT="0" distB="0" distL="0" distR="0">
            <wp:extent cx="1892300" cy="520700"/>
            <wp:effectExtent l="0" t="0" r="0" b="0"/>
            <wp:docPr id="45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52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Q</w:t>
      </w:r>
      <w:r>
        <w:rPr>
          <w:rFonts w:ascii="PT Astra Serif" w:hAnsi="PT Astra Serif"/>
          <w:sz w:val="28"/>
          <w:szCs w:val="28"/>
          <w:vertAlign w:val="subscript"/>
        </w:rPr>
        <w:t>i дпо</w:t>
      </w:r>
      <w:r>
        <w:rPr>
          <w:rFonts w:ascii="PT Astra Serif" w:hAnsi="PT Astra Serif"/>
          <w:sz w:val="28"/>
          <w:szCs w:val="28"/>
        </w:rPr>
        <w:t xml:space="preserve"> – количество работников, направляемых на i-й вид дополнительного профессионального образования;</w:t>
      </w:r>
    </w:p>
    <w:p>
      <w:pPr>
        <w:spacing w:before="0" w:after="0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P</w:t>
      </w:r>
      <w:r>
        <w:rPr>
          <w:rFonts w:ascii="PT Astra Serif" w:hAnsi="PT Astra Serif"/>
          <w:sz w:val="28"/>
          <w:szCs w:val="28"/>
          <w:vertAlign w:val="subscript"/>
        </w:rPr>
        <w:t>i дпо</w:t>
      </w:r>
      <w:r>
        <w:rPr>
          <w:rFonts w:ascii="PT Astra Serif" w:hAnsi="PT Astra Serif"/>
          <w:sz w:val="28"/>
          <w:szCs w:val="28"/>
        </w:rPr>
        <w:t xml:space="preserve"> – цена обучения одного работника по i-му виду дополнительного профессионального образования.</w:t>
      </w:r>
    </w:p>
    <w:p>
      <w:pPr>
        <w:widowControl w:val="0"/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  <w:sectPr>
          <w:headerReference w:type="default" r:id="rId56"/>
          <w:headerReference w:type="first" r:id="rId57"/>
          <w:type w:val="nextPage"/>
          <w:pgSz w:w="11906" w:h="16838" w:orient="portrait"/>
          <w:pgMar w:top="1134" w:right="851" w:bottom="1134" w:left="1418" w:header="737" w:footer="0" w:gutter="0"/>
          <w:cols w:num="1" w:sep="0" w:space="1701" w:equalWidth="1"/>
          <w:docGrid w:linePitch="360"/>
        </w:sectPr>
      </w:pPr>
      <w:r>
        <w:br/>
      </w:r>
    </w:p>
    <w:p>
      <w:pPr>
        <w:ind w:left="9071" w:right="0" w:firstLine="0"/>
        <w:rPr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</w:t>
      </w:r>
      <w:r>
        <w:rPr>
          <w:rFonts w:ascii="PT Astra Serif" w:eastAsia="PT Astra Serif" w:hAnsi="PT Astra Serif" w:cs="PT Astra Serif"/>
          <w:sz w:val="28"/>
          <w:szCs w:val="28"/>
        </w:rPr>
        <w:t>жение</w:t>
      </w:r>
      <w:r>
        <w:rPr>
          <w:rFonts w:ascii="PT Astra Serif" w:hAnsi="PT Astra Serif" w:cs="PT Astra Serif"/>
          <w:sz w:val="28"/>
          <w:szCs w:val="28"/>
        </w:rPr>
        <w:t xml:space="preserve"> № 2</w:t>
      </w:r>
    </w:p>
    <w:p>
      <w:pPr>
        <w:tabs>
          <w:tab w:val="left" w:pos="7088"/>
        </w:tabs>
        <w:ind w:left="9071" w:right="0" w:firstLine="0"/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hyperlink r:id="rId58" w:tooltip="https://phones.tomsk.gov.ru/phonebook/department?id=280&amp;type=2" w:history="1">
        <w:r>
          <w:rPr>
            <w:rFonts w:ascii="PT Astra Serif" w:eastAsia="PT Astra Serif" w:hAnsi="PT Astra Serif" w:cs="PT Astra Serif"/>
            <w:sz w:val="28"/>
          </w:rPr>
          <w:t>Департамента ветеринарии Томской области</w:t>
        </w:r>
      </w:hyperlink>
    </w:p>
    <w:p>
      <w:pPr>
        <w:tabs>
          <w:tab w:val="left" w:pos="7088"/>
        </w:tabs>
        <w:ind w:left="9071" w:right="0" w:firstLine="0"/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29.06.2026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>
        <w:rPr>
          <w:rFonts w:ascii="PT Astra Serif" w:hAnsi="PT Astra Serif" w:cs="PT Astra Serif"/>
          <w:color w:val="000000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11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>
      <w:pPr>
        <w:tabs>
          <w:tab w:val="left" w:pos="7088"/>
        </w:tabs>
        <w:ind w:left="9071" w:right="0" w:firstLine="0"/>
        <w:rPr>
          <w:rFonts w:ascii="PT Astra Serif" w:hAnsi="PT Astra Serif" w:cs="PT Astra Serif"/>
          <w:color w:val="000000"/>
          <w:highlight w:val="lightGray"/>
        </w:rPr>
      </w:pPr>
    </w:p>
    <w:p>
      <w:pPr>
        <w:spacing w:before="0" w:after="0"/>
        <w:contextualSpacing/>
        <w:jc w:val="left"/>
        <w:rPr>
          <w:rFonts w:ascii="PT Astra Serif" w:hAnsi="PT Astra Serif"/>
          <w:sz w:val="28"/>
          <w:szCs w:val="28"/>
        </w:rPr>
      </w:pPr>
    </w:p>
    <w:p>
      <w:pPr>
        <w:spacing w:before="0" w:after="0"/>
        <w:contextualSpacing/>
        <w:jc w:val="center"/>
        <w:rPr>
          <w:rFonts w:ascii="PT Astra Serif" w:hAnsi="PT Astra Serif"/>
          <w:sz w:val="28"/>
          <w:szCs w:val="28"/>
        </w:rPr>
      </w:pPr>
    </w:p>
    <w:p>
      <w:pPr>
        <w:spacing w:before="0" w:after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Нормативы количества, цены товаров, работ, услуг, </w:t>
      </w:r>
      <w:r>
        <w:rPr>
          <w:rFonts w:ascii="PT Astra Serif" w:hAnsi="PT Astra Serif"/>
          <w:sz w:val="28"/>
          <w:szCs w:val="28"/>
        </w:rPr>
        <w:t>предназначенных для обеспечения функций Департамента ветеринарии Томской обл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сти</w:t>
      </w:r>
    </w:p>
    <w:p>
      <w:pPr>
        <w:spacing w:before="0" w:after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>
      <w:pPr>
        <w:spacing w:before="0" w:after="0"/>
        <w:contextualSpacing/>
        <w:jc w:val="both"/>
      </w:pPr>
      <w:r>
        <w:rPr>
          <w:rFonts w:ascii="PT Astra Serif" w:hAnsi="PT Astra Serif"/>
          <w:sz w:val="28"/>
          <w:szCs w:val="28"/>
        </w:rPr>
        <w:tab/>
        <w:t>Нормативы цены товаров</w:t>
      </w:r>
      <w:r>
        <w:rPr>
          <w:rFonts w:ascii="PT Astra Serif" w:hAnsi="PT Astra Serif"/>
          <w:sz w:val="28"/>
          <w:szCs w:val="28"/>
        </w:rPr>
        <w:t xml:space="preserve">, работ, услуг определены с учетом положений статьи 22 Федерального закона от </w:t>
        <w:br/>
        <w:t>5 апреля 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Таблица 1. Нормативы, применяемые при расчете нормативных затрат на абонентскую плату за услуги связи</w:t>
      </w:r>
    </w:p>
    <w:p>
      <w:pPr>
        <w:widowControl w:val="0"/>
        <w:spacing w:before="0" w:after="0"/>
        <w:contextualSpacing/>
        <w:jc w:val="center"/>
        <w:rPr>
          <w:rFonts w:ascii="PT Astra Serif" w:hAnsi="PT Astra Serif"/>
          <w:sz w:val="28"/>
          <w:szCs w:val="28"/>
        </w:rPr>
      </w:pPr>
    </w:p>
    <w:tbl>
      <w:tblPr>
        <w:tblpPr w:leftFromText="180" w:rightFromText="180" w:topFromText="0" w:bottomFromText="0" w:vertAnchor="text" w:horzAnchor="margin" w:tblpY="34"/>
        <w:tblW w:w="14786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920"/>
        <w:gridCol w:w="4520"/>
        <w:gridCol w:w="4346"/>
      </w:tblGrid>
      <w:tr>
        <w:tblPrEx>
          <w:tblW w:w="14786" w:type="dxa"/>
          <w:tblInd w:w="108" w:type="dxa"/>
          <w:tblLayout w:type="fixed"/>
          <w:tblLook w:val="04A0"/>
        </w:tblPrEx>
        <w:trPr>
          <w:trHeight w:val="1683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pStyle w:val="ConsPlusNormal"/>
              <w:keepNext/>
              <w:keepLines/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с i-й абонентской платой, шт.</w:t>
            </w:r>
          </w:p>
        </w:tc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keepNext/>
              <w:keepLines/>
              <w:widowControl w:val="0"/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Ежемесячная i-я абонентская плата в расчете на один абонентский номер для передачи голосовой информации, руб.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keepNext/>
              <w:keepLines/>
              <w:widowControl w:val="0"/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 месяцев предоставления услуги</w:t>
            </w:r>
          </w:p>
        </w:tc>
      </w:tr>
      <w:tr>
        <w:tblPrEx>
          <w:tblW w:w="14786" w:type="dxa"/>
          <w:tblInd w:w="108" w:type="dxa"/>
          <w:tblLayout w:type="fixed"/>
          <w:tblLook w:val="04A0"/>
        </w:tblPrEx>
        <w:trPr>
          <w:trHeight w:val="435"/>
        </w:trPr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keepNext/>
              <w:keepLines/>
              <w:widowControl w:val="0"/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4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keepNext/>
              <w:keepLines/>
              <w:widowControl w:val="0"/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350</w:t>
            </w:r>
          </w:p>
        </w:tc>
        <w:tc>
          <w:tcPr>
            <w:tcW w:w="4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keepNext/>
              <w:keepLines/>
              <w:widowControl w:val="0"/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</w:tr>
    </w:tbl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Таблица 2. Нормативы, применяемые при расчете затрат на повременную оплату местных, междугородних и международных телефонных соединений</w:t>
      </w: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</w:p>
    <w:tbl>
      <w:tblPr>
        <w:tblpPr w:leftFromText="180" w:rightFromText="180" w:topFromText="0" w:bottomFromText="0" w:vertAnchor="text" w:horzAnchor="margin" w:tblpY="105"/>
        <w:tblW w:w="14816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383"/>
        <w:gridCol w:w="1418"/>
        <w:gridCol w:w="1559"/>
        <w:gridCol w:w="1702"/>
        <w:gridCol w:w="1701"/>
        <w:gridCol w:w="2126"/>
        <w:gridCol w:w="1701"/>
        <w:gridCol w:w="1733"/>
        <w:gridCol w:w="1493"/>
      </w:tblGrid>
      <w:tr>
        <w:tblPrEx>
          <w:tblW w:w="14816" w:type="dxa"/>
          <w:tblInd w:w="108" w:type="dxa"/>
          <w:tblLayout w:type="fixed"/>
          <w:tblLook w:val="04A0"/>
        </w:tblPrEx>
        <w:tc>
          <w:tcPr>
            <w:tcW w:w="4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Затраты на повременную оплату местных соединений</w:t>
            </w:r>
          </w:p>
        </w:tc>
        <w:tc>
          <w:tcPr>
            <w:tcW w:w="5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Затраты на повременную оплату междугородних соединений</w:t>
            </w:r>
          </w:p>
        </w:tc>
        <w:tc>
          <w:tcPr>
            <w:tcW w:w="4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Затраты на повременную оплату международных соединений</w:t>
            </w:r>
          </w:p>
        </w:tc>
      </w:tr>
      <w:tr>
        <w:tblPrEx>
          <w:tblW w:w="14816" w:type="dxa"/>
          <w:tblInd w:w="108" w:type="dxa"/>
          <w:tblLayout w:type="fixed"/>
          <w:tblLook w:val="04A0"/>
        </w:tblPrEx>
        <w:trPr>
          <w:trHeight w:val="1405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extDirection w:val="lrTb"/>
          </w:tcPr>
          <w:p>
            <w:pPr>
              <w:pStyle w:val="ConsPlusNormal"/>
              <w:spacing w:before="0" w:after="0"/>
              <w:contextualSpacing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Количество абонентских номеров  для передачи голосовой информации, используемых для местных телефонных соединений, с g-м тарифом, шт.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extDirection w:val="lrTb"/>
          </w:tcPr>
          <w:p>
            <w:pPr>
              <w:pStyle w:val="ConsPlusNormal"/>
              <w:spacing w:before="0" w:after="0"/>
              <w:contextualSpacing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Продолжительность местных телефонных  соединений в месяц в расчете на один абонентский номер для передачи голосовой информации по g-му тарифу, мин.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extDirection w:val="lrTb"/>
          </w:tcPr>
          <w:p>
            <w:pPr>
              <w:pStyle w:val="ConsPlusNormal"/>
              <w:spacing w:before="0" w:after="0"/>
              <w:contextualSpacing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Цена минуты разговора при местных телефонных соединениях по g-му тарифу, руб.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extDirection w:val="lrTb"/>
          </w:tcPr>
          <w:p>
            <w:pPr>
              <w:pStyle w:val="ConsPlusNormal"/>
              <w:spacing w:before="0" w:after="0"/>
              <w:contextualSpacing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Количество абонентских номеров для передачи голосовой информации, используемых для междугородних телефонных соединений, с i-м тарифом, шт.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extDirection w:val="lrTb"/>
          </w:tcPr>
          <w:p>
            <w:pPr>
              <w:pStyle w:val="ConsPlusNormal"/>
              <w:spacing w:before="0" w:after="0"/>
              <w:contextualSpacing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Продолжительность междугородних телефонных  соединений в месяц в расчете на один абонентский номер для передачи голосовой информации по i-му тарифу, мин.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extDirection w:val="lrTb"/>
          </w:tcPr>
          <w:p>
            <w:pPr>
              <w:pStyle w:val="ConsPlusNormal"/>
              <w:spacing w:before="0" w:after="0"/>
              <w:contextualSpacing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Цена минуты разговора при междугородних телефонных соединениях по i-му тарифу,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extDirection w:val="lrTb"/>
          </w:tcPr>
          <w:p>
            <w:pPr>
              <w:pStyle w:val="ConsPlusNormal"/>
              <w:spacing w:before="0" w:after="0"/>
              <w:contextualSpacing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Количество абонентских номеров  для передачи голосовой информации, используемых для международных телефонных соединений, с j-м тарифом, шт.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extDirection w:val="lrTb"/>
          </w:tcPr>
          <w:p>
            <w:pPr>
              <w:pStyle w:val="ConsPlusNormal"/>
              <w:spacing w:before="0" w:after="0"/>
              <w:contextualSpacing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Продолжительность международных телефонных  соединений в месяц в расчете на один абонентский номер для передачи голосовой информации по j-му тарифу, мин.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extDirection w:val="lrTb"/>
          </w:tcPr>
          <w:p>
            <w:pPr>
              <w:pStyle w:val="ConsPlusNormal"/>
              <w:spacing w:before="0" w:after="0"/>
              <w:contextualSpacing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Цена минуты разговора при международных телефонных соединениях по j-му тарифу, руб.</w:t>
            </w:r>
          </w:p>
        </w:tc>
      </w:tr>
      <w:tr>
        <w:tblPrEx>
          <w:tblW w:w="14816" w:type="dxa"/>
          <w:tblInd w:w="108" w:type="dxa"/>
          <w:tblLayout w:type="fixed"/>
          <w:tblLook w:val="04A0"/>
        </w:tblPrEx>
        <w:trPr>
          <w:trHeight w:val="333"/>
        </w:trPr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Не более 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Не более 4,00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Не более 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Не более 5,00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15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Не более 5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ru-RU" w:bidi="en-US"/>
              </w:rPr>
              <w:t>Не более 26,90</w:t>
            </w:r>
          </w:p>
        </w:tc>
      </w:tr>
    </w:tbl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spacing w:before="0" w:after="0"/>
        <w:contextualSpacing/>
        <w:jc w:val="center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</w:rPr>
        <w:t>Таблица 3. Нормативы, применяемые при расчете нормативных затрат на приобретение средств подвижной связи и услуг подвижной связи</w:t>
      </w:r>
    </w:p>
    <w:p>
      <w:pPr>
        <w:spacing w:before="0" w:after="0"/>
        <w:contextualSpacing/>
        <w:jc w:val="center"/>
        <w:rPr>
          <w:rFonts w:ascii="PT Astra Serif" w:hAnsi="PT Astra Serif"/>
          <w:sz w:val="28"/>
          <w:szCs w:val="28"/>
        </w:rPr>
      </w:pPr>
    </w:p>
    <w:tbl>
      <w:tblPr>
        <w:tblW w:w="14747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285"/>
        <w:gridCol w:w="2037"/>
        <w:gridCol w:w="2685"/>
        <w:gridCol w:w="2450"/>
        <w:gridCol w:w="2181"/>
        <w:gridCol w:w="2109"/>
      </w:tblGrid>
      <w:tr>
        <w:tblPrEx>
          <w:tblW w:w="14747" w:type="dxa"/>
          <w:tblInd w:w="108" w:type="dxa"/>
          <w:tblLayout w:type="fixed"/>
          <w:tblLook w:val="04A0"/>
        </w:tblPrEx>
        <w:trPr>
          <w:trHeight w:val="594"/>
        </w:trPr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Категории /группы должностей гражданского служащего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>Количество средств связи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>Цена приобретения средств связи*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>Количество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 xml:space="preserve">Ежемесячная цена услуги связи </w:t>
            </w:r>
            <w:r>
              <w:rPr>
                <w:rFonts w:ascii="PT Astra Serif" w:hAnsi="PT Astra Serif"/>
                <w:sz w:val="24"/>
                <w:szCs w:val="24"/>
              </w:rPr>
              <w:t>подвижной связи в расчете на один номер сотовой абонентской станции i-й должности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 месяцев предоставления услуги подвижной связи</w:t>
            </w:r>
          </w:p>
        </w:tc>
      </w:tr>
      <w:tr>
        <w:tblPrEx>
          <w:tblW w:w="14747" w:type="dxa"/>
          <w:tblInd w:w="108" w:type="dxa"/>
          <w:tblLayout w:type="fixed"/>
          <w:tblLook w:val="04A0"/>
        </w:tblPrEx>
        <w:trPr>
          <w:trHeight w:val="415"/>
        </w:trPr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Руководители/ высших должностей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>не более 1 единицы на одного сотрудника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>не более 15 тыс. рублей за 1 единицу</w:t>
            </w:r>
          </w:p>
        </w:tc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>не более 4000 рублей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>12</w:t>
            </w:r>
          </w:p>
        </w:tc>
      </w:tr>
    </w:tbl>
    <w:p>
      <w:pPr>
        <w:pStyle w:val="ConsPlusNormal"/>
        <w:spacing w:before="0" w:after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* Периодичность приобретения средств связи определяется максимальным сроком полезного использования и составляет 5 лет.</w:t>
      </w:r>
    </w:p>
    <w:p>
      <w:pPr>
        <w:pStyle w:val="ConsPlusNormal"/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spacing w:before="0" w:after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Таблица 4. Нормативы, </w:t>
      </w:r>
      <w:r>
        <w:rPr>
          <w:rFonts w:ascii="PT Astra Serif" w:eastAsia="Calibri" w:hAnsi="PT Astra Serif"/>
          <w:sz w:val="28"/>
          <w:szCs w:val="28"/>
        </w:rPr>
        <w:t xml:space="preserve">применяемые при расчете нормативных затрат </w:t>
      </w:r>
      <w:r>
        <w:rPr>
          <w:rFonts w:ascii="PT Astra Serif" w:hAnsi="PT Astra Serif"/>
          <w:sz w:val="28"/>
          <w:szCs w:val="28"/>
        </w:rPr>
        <w:t xml:space="preserve">на техническое обслуживание </w:t>
        <w:br/>
        <w:t>и регламентно-профилактический ремонт принтеров, многофункциональных устройств, копировальных аппаратов и иной оргтехники</w:t>
      </w:r>
    </w:p>
    <w:tbl>
      <w:tblPr>
        <w:tblW w:w="14644" w:type="dxa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94"/>
        <w:gridCol w:w="3547"/>
        <w:gridCol w:w="1416"/>
        <w:gridCol w:w="3680"/>
        <w:gridCol w:w="5407"/>
      </w:tblGrid>
      <w:tr>
        <w:tblPrEx>
          <w:tblW w:w="14644" w:type="dxa"/>
          <w:tblInd w:w="206" w:type="dxa"/>
          <w:tblLayout w:type="fixed"/>
          <w:tblLook w:val="04A0"/>
        </w:tblPrEx>
        <w:trPr>
          <w:trHeight w:val="392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Ед. изм.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5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за ед, рублей</w:t>
            </w:r>
          </w:p>
        </w:tc>
      </w:tr>
      <w:tr>
        <w:tblPrEx>
          <w:tblW w:w="14644" w:type="dxa"/>
          <w:tblInd w:w="206" w:type="dxa"/>
          <w:tblLayout w:type="fixed"/>
          <w:tblLook w:val="04A0"/>
        </w:tblPrEx>
        <w:trPr>
          <w:trHeight w:val="68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Многофункциональное устройство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5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75 % от первоначальной стоимости многофункционального устройства, подлежащего ремонту </w:t>
            </w:r>
          </w:p>
        </w:tc>
      </w:tr>
      <w:tr>
        <w:tblPrEx>
          <w:tblW w:w="14644" w:type="dxa"/>
          <w:tblInd w:w="206" w:type="dxa"/>
          <w:tblLayout w:type="fixed"/>
          <w:tblLook w:val="04A0"/>
        </w:tblPrEx>
        <w:trPr>
          <w:trHeight w:val="26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Принтер лазерный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5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75 % от первоначальной стоимости принтера, подлежащего ремонту</w:t>
            </w:r>
          </w:p>
        </w:tc>
      </w:tr>
    </w:tbl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widowControl w:val="0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Таблица 5. Нормативы, </w:t>
      </w:r>
      <w:r>
        <w:rPr>
          <w:rFonts w:ascii="PT Astra Serif" w:eastAsia="Calibri" w:hAnsi="PT Astra Serif"/>
          <w:sz w:val="28"/>
          <w:szCs w:val="28"/>
        </w:rPr>
        <w:t xml:space="preserve">применяемые при расчете нормативных затрат на приобретение </w:t>
      </w:r>
      <w:r>
        <w:rPr>
          <w:rFonts w:ascii="PT Astra Serif" w:hAnsi="PT Astra Serif"/>
          <w:sz w:val="28"/>
          <w:szCs w:val="28"/>
        </w:rPr>
        <w:t>принтеров, многофункциональных устройств, копировальных аппаратов и иной оргтехники</w:t>
      </w:r>
    </w:p>
    <w:tbl>
      <w:tblPr>
        <w:tblW w:w="14757" w:type="dxa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111"/>
        <w:gridCol w:w="1148"/>
        <w:gridCol w:w="2978"/>
        <w:gridCol w:w="2693"/>
        <w:gridCol w:w="3827"/>
      </w:tblGrid>
      <w:tr>
        <w:tblPrEx>
          <w:tblW w:w="14757" w:type="dxa"/>
          <w:tblInd w:w="206" w:type="dxa"/>
          <w:tblLayout w:type="fixed"/>
          <w:tblLook w:val="04A0"/>
        </w:tblPrEx>
        <w:trPr>
          <w:trHeight w:val="39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Ед. изм.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Количество*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за ед, рублей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Категории /группы должностей гражданского служащего</w:t>
            </w:r>
          </w:p>
        </w:tc>
      </w:tr>
      <w:tr>
        <w:tblPrEx>
          <w:tblW w:w="14757" w:type="dxa"/>
          <w:tblInd w:w="206" w:type="dxa"/>
          <w:tblLayout w:type="fixed"/>
          <w:tblLook w:val="04A0"/>
        </w:tblPrEx>
        <w:trPr>
          <w:trHeight w:val="39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Многофункциональное устройство монохромной печати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1 единицы на </w:t>
            </w:r>
            <w:r>
              <w:rPr>
                <w:rFonts w:ascii="PT Astra Serif" w:hAnsi="PT Astra Serif"/>
                <w:strike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сотрудника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230 000,00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  <w:tr>
        <w:tblPrEx>
          <w:tblW w:w="14757" w:type="dxa"/>
          <w:tblInd w:w="206" w:type="dxa"/>
          <w:tblLayout w:type="fixed"/>
          <w:tblLook w:val="04A0"/>
        </w:tblPrEx>
        <w:trPr>
          <w:trHeight w:val="392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Многофункциональное устройство цветной печати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 на кабинет (помещение)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280 000,00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  <w:tr>
        <w:tblPrEx>
          <w:tblW w:w="14757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Принтер лазерный, монохромная печать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1 единицы на </w:t>
            </w:r>
            <w:r>
              <w:rPr>
                <w:rFonts w:ascii="PT Astra Serif" w:hAnsi="PT Astra Serif"/>
                <w:strike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сотрудника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56 000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,00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  <w:tr>
        <w:tblPrEx>
          <w:tblW w:w="14757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Телефон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16 000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,00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  <w:tr>
        <w:tblPrEx>
          <w:tblW w:w="14757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IP</w:t>
            </w:r>
            <w:r>
              <w:rPr>
                <w:rFonts w:ascii="PT Astra Serif" w:hAnsi="PT Astra Serif"/>
                <w:sz w:val="24"/>
                <w:szCs w:val="24"/>
              </w:rPr>
              <w:t>-телефон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27 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500</w:t>
            </w:r>
            <w:r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  <w:tr>
        <w:tblPrEx>
          <w:tblW w:w="14757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Уничтожитель бумаги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кабинет (помещение)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44 000</w:t>
            </w:r>
            <w:r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  <w:tr>
        <w:tblPrEx>
          <w:tblW w:w="14757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Ламинатор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10 000,00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  <w:tr>
        <w:tblPrEx>
          <w:tblW w:w="14757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Проектор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175 000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  <w:tr>
        <w:tblPrEx>
          <w:tblW w:w="14757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Коммутатор презентационный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90 000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  <w:tr>
        <w:tblPrEx>
          <w:tblW w:w="14757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Управляемая (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PTZ) </w:t>
            </w:r>
            <w:r>
              <w:rPr>
                <w:rFonts w:ascii="PT Astra Serif" w:hAnsi="PT Astra Serif"/>
                <w:sz w:val="24"/>
                <w:szCs w:val="24"/>
              </w:rPr>
              <w:t>камера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86 000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  <w:tr>
        <w:tblPrEx>
          <w:tblW w:w="14757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Телевизор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150 000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</w:tbl>
    <w:p>
      <w:pPr>
        <w:pStyle w:val="ConsPlusNormal"/>
        <w:spacing w:before="0" w:after="0"/>
        <w:ind w:firstLine="851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</w:t>
      </w:r>
      <w:r>
        <w:rPr>
          <w:rFonts w:ascii="PT Astra Serif" w:hAnsi="PT Astra Serif"/>
          <w:sz w:val="24"/>
          <w:szCs w:val="24"/>
        </w:rPr>
        <w:t>*Периодичность приобретения принтеров, многофункциональных устройств, копировальных аппаратов телефонных аппаратов и иной оргтехники определяется максимальным сроком полезного использования и составляет 3 года.</w:t>
      </w:r>
    </w:p>
    <w:p>
      <w:pPr>
        <w:pStyle w:val="ConsPlusNormal"/>
        <w:spacing w:before="0" w:after="0"/>
        <w:ind w:firstLine="851"/>
        <w:contextualSpacing/>
        <w:jc w:val="center"/>
        <w:rPr>
          <w:rFonts w:ascii="PT Astra Serif" w:hAnsi="PT Astra Serif"/>
          <w:sz w:val="28"/>
          <w:szCs w:val="28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Таблица 6. Нормативы, применяемые при расчете нормативных затрат на приобретение </w:t>
        <w:br/>
        <w:t>мониторов и системных блоков, ноутбуков</w:t>
      </w:r>
    </w:p>
    <w:tbl>
      <w:tblPr>
        <w:tblW w:w="14797" w:type="dxa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93"/>
        <w:gridCol w:w="2995"/>
        <w:gridCol w:w="4797"/>
        <w:gridCol w:w="3013"/>
        <w:gridCol w:w="3399"/>
      </w:tblGrid>
      <w:tr>
        <w:tblPrEx>
          <w:tblW w:w="14797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№</w:t>
            </w:r>
            <w:r>
              <w:rPr>
                <w:rFonts w:ascii="PT Astra Serif" w:hAnsi="PT Astra Serif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п/п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Наименование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Количество, шт*</w:t>
            </w:r>
          </w:p>
        </w:tc>
        <w:tc>
          <w:tcPr>
            <w:tcW w:w="3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Цена за ед., руб.</w:t>
            </w:r>
          </w:p>
        </w:tc>
        <w:tc>
          <w:tcPr>
            <w:tcW w:w="33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Категории и группы должностей</w:t>
            </w:r>
          </w:p>
        </w:tc>
      </w:tr>
      <w:tr>
        <w:tblPrEx>
          <w:tblW w:w="14797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9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Монитор</w:t>
            </w:r>
          </w:p>
        </w:tc>
        <w:tc>
          <w:tcPr>
            <w:tcW w:w="47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25 000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  <w:tr>
        <w:tblPrEx>
          <w:tblW w:w="14797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9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Системный блок</w:t>
            </w:r>
          </w:p>
        </w:tc>
        <w:tc>
          <w:tcPr>
            <w:tcW w:w="47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7</w:t>
            </w:r>
            <w:r>
              <w:rPr>
                <w:rFonts w:ascii="PT Astra Serif" w:hAnsi="PT Astra Serif"/>
                <w:sz w:val="24"/>
                <w:szCs w:val="24"/>
              </w:rPr>
              <w:t>0 00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  <w:tr>
        <w:tblPrEx>
          <w:tblW w:w="14797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9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Ноутбук</w:t>
            </w:r>
          </w:p>
        </w:tc>
        <w:tc>
          <w:tcPr>
            <w:tcW w:w="47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100 000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</w:tbl>
    <w:p>
      <w:pPr>
        <w:spacing w:before="0" w:after="0"/>
        <w:ind w:firstLine="851"/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*Периодичность приобретения мониторов и системных блоков определяется максимальным сроком полезного использования и составляет 3 года.</w:t>
      </w:r>
    </w:p>
    <w:p>
      <w:pPr>
        <w:pStyle w:val="ConsPlusNormal"/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Таблица 7. Нормативы, применяемые при расчете нормативных затрат на </w:t>
        <w:br/>
        <w:t>приобретение других запасных частей для вычислительной техники</w:t>
      </w:r>
    </w:p>
    <w:tbl>
      <w:tblPr>
        <w:tblW w:w="14616" w:type="dxa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23"/>
        <w:gridCol w:w="6805"/>
        <w:gridCol w:w="4536"/>
        <w:gridCol w:w="2552"/>
      </w:tblGrid>
      <w:tr>
        <w:tblPrEx>
          <w:tblW w:w="14616" w:type="dxa"/>
          <w:tblInd w:w="206" w:type="dxa"/>
          <w:tblLayout w:type="fixed"/>
          <w:tblLook w:val="04A0"/>
        </w:tblPrEx>
        <w:trPr>
          <w:trHeight w:val="525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Запасные части для вычислительной техники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за ед., руб.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301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Материнская плата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среднее за 3 предыдущих финансовых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301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Блок питания</w:t>
            </w:r>
          </w:p>
        </w:tc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301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Процессор</w:t>
            </w:r>
          </w:p>
        </w:tc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63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Клавиатура, мышь и пр.</w:t>
            </w:r>
          </w:p>
        </w:tc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4 000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63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Оперативная память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на системный блок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63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Жесткий диск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на системный блок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63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SSD</w:t>
            </w:r>
            <w:r>
              <w:rPr>
                <w:rFonts w:ascii="PT Astra Serif" w:hAnsi="PT Astra Serif"/>
                <w:sz w:val="24"/>
                <w:szCs w:val="24"/>
              </w:rPr>
              <w:t>-накопитель (твердотельный диск)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на системный блок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25 000</w:t>
            </w:r>
          </w:p>
        </w:tc>
      </w:tr>
    </w:tbl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 8. Нормативы, применяемые при расчете нормативных затрат на приобретение</w:t>
        <w:br/>
        <w:t xml:space="preserve"> носителей информации, в том числе магнитных, электронных ключевых и оптических носителей информации</w:t>
      </w:r>
    </w:p>
    <w:tbl>
      <w:tblPr>
        <w:tblW w:w="14537" w:type="dxa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00"/>
        <w:gridCol w:w="4119"/>
        <w:gridCol w:w="4125"/>
        <w:gridCol w:w="3593"/>
      </w:tblGrid>
      <w:tr>
        <w:tblPrEx>
          <w:tblW w:w="14537" w:type="dxa"/>
          <w:tblInd w:w="206" w:type="dxa"/>
          <w:tblLayout w:type="fixed"/>
          <w:tblLook w:val="04A0"/>
        </w:tblPrEx>
        <w:trPr>
          <w:trHeight w:val="576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Категории и группы должностей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приобретения за 1 единицу, руб.</w:t>
            </w:r>
          </w:p>
        </w:tc>
      </w:tr>
      <w:tr>
        <w:tblPrEx>
          <w:tblW w:w="14537" w:type="dxa"/>
          <w:tblInd w:w="206" w:type="dxa"/>
          <w:tblLayout w:type="fixed"/>
          <w:tblLook w:val="04A0"/>
        </w:tblPrEx>
        <w:trPr>
          <w:trHeight w:val="393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оптический носитель (диск)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30 на Департамент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100,00</w:t>
            </w:r>
          </w:p>
        </w:tc>
      </w:tr>
      <w:tr>
        <w:tblPrEx>
          <w:tblW w:w="14537" w:type="dxa"/>
          <w:tblInd w:w="206" w:type="dxa"/>
          <w:tblLayout w:type="fixed"/>
          <w:tblLook w:val="04A0"/>
        </w:tblPrEx>
        <w:trPr>
          <w:trHeight w:val="393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мобильный носитель информации (флеш-драйв)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4 на работника расчетной численности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3 000,00</w:t>
            </w:r>
          </w:p>
        </w:tc>
      </w:tr>
      <w:tr>
        <w:tblPrEx>
          <w:tblW w:w="14537" w:type="dxa"/>
          <w:tblInd w:w="206" w:type="dxa"/>
          <w:tblLayout w:type="fixed"/>
          <w:tblLook w:val="04A0"/>
        </w:tblPrEx>
        <w:trPr>
          <w:trHeight w:val="393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USB-</w:t>
            </w:r>
            <w:r>
              <w:rPr>
                <w:rFonts w:ascii="PT Astra Serif" w:hAnsi="PT Astra Serif"/>
                <w:sz w:val="24"/>
                <w:szCs w:val="24"/>
              </w:rPr>
              <w:t>токен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3 500,00</w:t>
            </w:r>
          </w:p>
        </w:tc>
      </w:tr>
      <w:tr>
        <w:tblPrEx>
          <w:tblW w:w="14537" w:type="dxa"/>
          <w:tblInd w:w="206" w:type="dxa"/>
          <w:tblLayout w:type="fixed"/>
          <w:tblLook w:val="04A0"/>
        </w:tblPrEx>
        <w:trPr>
          <w:trHeight w:val="393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внешний жесткий диск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12 000,00</w:t>
            </w:r>
          </w:p>
        </w:tc>
      </w:tr>
    </w:tbl>
    <w:p>
      <w:pPr>
        <w:pStyle w:val="ConsPlusNormal"/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 9. Нормативы, применяемые при расчете нормативных затрат на приобретение расходных материалов для принтеров, многофункциональных устройств, копировальных аппаратов и иной оргтехники</w:t>
      </w:r>
    </w:p>
    <w:tbl>
      <w:tblPr>
        <w:tblW w:w="14601" w:type="dxa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09"/>
        <w:gridCol w:w="4677"/>
        <w:gridCol w:w="3402"/>
        <w:gridCol w:w="2127"/>
        <w:gridCol w:w="3686"/>
      </w:tblGrid>
      <w:tr>
        <w:tblPrEx>
          <w:tblW w:w="14601" w:type="dxa"/>
          <w:tblInd w:w="221" w:type="dxa"/>
          <w:tblLayout w:type="fixed"/>
          <w:tblLook w:val="04A0"/>
        </w:tblPrEx>
        <w:trPr>
          <w:trHeight w:val="515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4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устройства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Картридж/Тонер (комплект для цветных устройств)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Категории и группы должностей</w:t>
            </w:r>
          </w:p>
        </w:tc>
      </w:tr>
      <w:tr>
        <w:tblPrEx>
          <w:tblW w:w="14601" w:type="dxa"/>
          <w:tblInd w:w="221" w:type="dxa"/>
          <w:tblLayout w:type="fixed"/>
          <w:tblLook w:val="04A0"/>
        </w:tblPrEx>
        <w:trPr>
          <w:trHeight w:val="739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 на 1 устройство в год, единиц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Цена, руб.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>
        <w:tblPrEx>
          <w:tblW w:w="14601" w:type="dxa"/>
          <w:tblInd w:w="221" w:type="dxa"/>
          <w:tblLayout w:type="fixed"/>
          <w:tblLook w:val="04A0"/>
        </w:tblPrEx>
        <w:trPr>
          <w:trHeight w:val="5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Многофункциональное устройство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10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000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  <w:tr>
        <w:tblPrEx>
          <w:tblW w:w="14601" w:type="dxa"/>
          <w:tblInd w:w="221" w:type="dxa"/>
          <w:tblLayout w:type="fixed"/>
          <w:tblLook w:val="04A0"/>
        </w:tblPrEx>
        <w:trPr>
          <w:trHeight w:val="5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46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Принтер</w:t>
            </w:r>
          </w:p>
        </w:tc>
        <w:tc>
          <w:tcPr>
            <w:tcW w:w="34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</w:t>
            </w:r>
          </w:p>
        </w:tc>
        <w:tc>
          <w:tcPr>
            <w:tcW w:w="2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10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000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</w:tr>
    </w:tbl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Таблица 10. Нормативы, применяемые при расчете нормативных затрат на </w:t>
        <w:br/>
        <w:t>оплату услуг почтовой связи и специальной связи</w:t>
      </w:r>
    </w:p>
    <w:tbl>
      <w:tblPr>
        <w:tblW w:w="14616" w:type="dxa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23"/>
        <w:gridCol w:w="5529"/>
        <w:gridCol w:w="4536"/>
        <w:gridCol w:w="3828"/>
      </w:tblGrid>
      <w:tr>
        <w:tblPrEx>
          <w:tblW w:w="14616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Виды связи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 отправлений в год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одного отправления/ листа (пакета), руб.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Услуги почтовой связи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среднее за 3 предыдущих финансовых года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150</w:t>
            </w:r>
          </w:p>
        </w:tc>
      </w:tr>
    </w:tbl>
    <w:p>
      <w:pPr>
        <w:pStyle w:val="ConsPlusNormal"/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>Таб</w:t>
      </w:r>
      <w:r>
        <w:rPr>
          <w:rFonts w:ascii="PT Astra Serif" w:hAnsi="PT Astra Serif"/>
          <w:sz w:val="28"/>
          <w:szCs w:val="28"/>
        </w:rPr>
        <w:t>лица 11. Нормативы, применяемые при расчете нормативных затрат на электроснабжение</w:t>
      </w:r>
    </w:p>
    <w:tbl>
      <w:tblPr>
        <w:tblW w:w="14616" w:type="dxa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543"/>
        <w:gridCol w:w="9073"/>
      </w:tblGrid>
      <w:tr>
        <w:tblPrEx>
          <w:tblW w:w="14616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Потребность в электроэнергии, Квт. В год</w:t>
            </w:r>
          </w:p>
        </w:tc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Тариф за электроэнергию, руб.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52 000</w:t>
            </w:r>
          </w:p>
        </w:tc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соответствии с тарифом, утвержденным органом государственного регулирования</w:t>
            </w:r>
          </w:p>
        </w:tc>
      </w:tr>
    </w:tbl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 12. Нормативы, применяемые при расчете нормативных затрат на теплоснабжение</w:t>
      </w:r>
    </w:p>
    <w:tbl>
      <w:tblPr>
        <w:tblW w:w="14616" w:type="dxa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543"/>
        <w:gridCol w:w="9073"/>
      </w:tblGrid>
      <w:tr>
        <w:tblPrEx>
          <w:tblW w:w="14616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Потребность в теплоэнергии, Гкал. В год</w:t>
            </w:r>
          </w:p>
        </w:tc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Тариф за теплоэнергию, руб.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250,00</w:t>
            </w:r>
          </w:p>
        </w:tc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соответствии с тарифом, утвержденным органом государственного регулирования</w:t>
            </w:r>
          </w:p>
        </w:tc>
      </w:tr>
    </w:tbl>
    <w:p>
      <w:pPr>
        <w:pStyle w:val="ConsPlusNormal"/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Таблица 13. Нормативы, применяемые при расчете нормативных </w:t>
        <w:br/>
        <w:t>затрат на холодное водоснабжение и водоотведение</w:t>
      </w:r>
    </w:p>
    <w:tbl>
      <w:tblPr>
        <w:tblW w:w="14616" w:type="dxa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23"/>
        <w:gridCol w:w="5297"/>
        <w:gridCol w:w="8596"/>
      </w:tblGrid>
      <w:tr>
        <w:tblPrEx>
          <w:tblW w:w="14616" w:type="dxa"/>
          <w:tblInd w:w="206" w:type="dxa"/>
          <w:tblLayout w:type="fixed"/>
          <w:tblLook w:val="04A0"/>
        </w:tblPrEx>
        <w:trPr>
          <w:trHeight w:val="411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Потребность в холодном водоснабжении, куб.м. в год</w:t>
            </w:r>
          </w:p>
        </w:tc>
        <w:tc>
          <w:tcPr>
            <w:tcW w:w="8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Тариф за холодное водоснабжение, руб.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494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300,00</w:t>
            </w:r>
          </w:p>
        </w:tc>
        <w:tc>
          <w:tcPr>
            <w:tcW w:w="8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 соответствии с тарифом, утвержденным органом государственного регулирования</w:t>
            </w:r>
          </w:p>
        </w:tc>
      </w:tr>
    </w:tbl>
    <w:p>
      <w:pPr>
        <w:pStyle w:val="ConsPlusNormal"/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Таблица 14. Нормативы, применяемые при расчете нормативных затрат на оплату </w:t>
        <w:br/>
        <w:t>услуг по обслуживанию и уборке помещения</w:t>
      </w:r>
    </w:p>
    <w:tbl>
      <w:tblPr>
        <w:tblW w:w="14601" w:type="dxa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111"/>
        <w:gridCol w:w="5528"/>
        <w:gridCol w:w="4962"/>
      </w:tblGrid>
      <w:tr>
        <w:tblPrEx>
          <w:tblW w:w="14601" w:type="dxa"/>
          <w:tblInd w:w="221" w:type="dxa"/>
          <w:tblLayout w:type="fixed"/>
          <w:tblLook w:val="04A0"/>
        </w:tblPrEx>
        <w:trPr>
          <w:trHeight w:val="51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Площадь обслуживаемого помещения, м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услуги за м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по обслуживанию и уборке за 1 м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 месяц, руб.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 месяцев использования услуги по обслуживанию и уборке</w:t>
            </w:r>
          </w:p>
        </w:tc>
      </w:tr>
      <w:tr>
        <w:tblPrEx>
          <w:tblW w:w="14601" w:type="dxa"/>
          <w:tblInd w:w="221" w:type="dxa"/>
          <w:tblLayout w:type="fixed"/>
          <w:tblLook w:val="04A0"/>
        </w:tblPrEx>
        <w:trPr>
          <w:trHeight w:val="18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62 500,00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</w:tr>
    </w:tbl>
    <w:p>
      <w:pPr>
        <w:pStyle w:val="ConsPlusNormal"/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 15. Нормативы, применяемые при расчете нормативных затрат на чистку территории от снега и наледи</w:t>
      </w:r>
    </w:p>
    <w:tbl>
      <w:tblPr>
        <w:tblW w:w="14601" w:type="dxa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485"/>
        <w:gridCol w:w="5186"/>
        <w:gridCol w:w="4930"/>
      </w:tblGrid>
      <w:tr>
        <w:tblPrEx>
          <w:tblW w:w="14601" w:type="dxa"/>
          <w:tblInd w:w="221" w:type="dxa"/>
          <w:tblLayout w:type="fixed"/>
          <w:tblLook w:val="04A0"/>
        </w:tblPrEx>
        <w:trPr>
          <w:trHeight w:val="347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hanging="79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Площадь закрепленной прилегающей территории, м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hanging="79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 услуги, руб.</w:t>
            </w:r>
          </w:p>
        </w:tc>
        <w:tc>
          <w:tcPr>
            <w:tcW w:w="4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hanging="79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 месяцев содержания прилегающей территории</w:t>
            </w:r>
          </w:p>
        </w:tc>
      </w:tr>
      <w:tr>
        <w:tblPrEx>
          <w:tblW w:w="14601" w:type="dxa"/>
          <w:tblInd w:w="221" w:type="dxa"/>
          <w:tblLayout w:type="fixed"/>
          <w:tblLook w:val="04A0"/>
        </w:tblPrEx>
        <w:trPr>
          <w:trHeight w:val="141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hanging="79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490</w:t>
            </w:r>
          </w:p>
        </w:tc>
        <w:tc>
          <w:tcPr>
            <w:tcW w:w="5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hanging="79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60 000</w:t>
            </w:r>
          </w:p>
        </w:tc>
        <w:tc>
          <w:tcPr>
            <w:tcW w:w="4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ind w:hanging="79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</w:tbl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 16. Нормативы, применяемые при расчете нормативных затрат на проведение предрейсового осмотра</w:t>
      </w:r>
    </w:p>
    <w:tbl>
      <w:tblPr>
        <w:tblW w:w="14601" w:type="dxa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92"/>
        <w:gridCol w:w="4997"/>
        <w:gridCol w:w="4712"/>
      </w:tblGrid>
      <w:tr>
        <w:tblPrEx>
          <w:tblW w:w="14601" w:type="dxa"/>
          <w:tblInd w:w="221" w:type="dxa"/>
          <w:tblLayout w:type="fixed"/>
          <w:tblLook w:val="04A0"/>
        </w:tblPrEx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Наименование осмотра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Количество медосмотров в год на одного водителя</w:t>
            </w:r>
          </w:p>
        </w:tc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Цена одного медосмотра</w:t>
            </w:r>
          </w:p>
        </w:tc>
      </w:tr>
      <w:tr>
        <w:tblPrEx>
          <w:tblW w:w="14601" w:type="dxa"/>
          <w:tblInd w:w="221" w:type="dxa"/>
          <w:tblLayout w:type="fixed"/>
          <w:tblLook w:val="04A0"/>
        </w:tblPrEx>
        <w:tc>
          <w:tcPr>
            <w:tcW w:w="4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Предрейсовый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220</w:t>
            </w:r>
          </w:p>
        </w:tc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ind w:firstLine="63"/>
              <w:contextualSpacing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до 300</w:t>
            </w:r>
          </w:p>
        </w:tc>
      </w:tr>
    </w:tbl>
    <w:p>
      <w:pPr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Таблица 17. Нормативы, применяемые при расчете нормативных затрат на проведение </w:t>
        <w:br/>
        <w:t>диспансеризации работников</w:t>
      </w:r>
    </w:p>
    <w:tbl>
      <w:tblPr>
        <w:tblW w:w="14601" w:type="dxa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392"/>
        <w:gridCol w:w="3806"/>
        <w:gridCol w:w="3403"/>
      </w:tblGrid>
      <w:tr>
        <w:tblPrEx>
          <w:tblW w:w="14601" w:type="dxa"/>
          <w:tblInd w:w="221" w:type="dxa"/>
          <w:tblLayout w:type="fixed"/>
          <w:tblLook w:val="04A0"/>
        </w:tblPrEx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Численность работников, подлежащих диспансеризации, человек</w:t>
            </w:r>
          </w:p>
        </w:tc>
        <w:tc>
          <w:tcPr>
            <w:tcW w:w="7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Предельная цена проведения диспансеризации в расчете на одного работника, руб.</w:t>
            </w:r>
          </w:p>
        </w:tc>
      </w:tr>
      <w:tr>
        <w:tblPrEx>
          <w:tblW w:w="14601" w:type="dxa"/>
          <w:tblInd w:w="221" w:type="dxa"/>
          <w:tblLayout w:type="fixed"/>
          <w:tblLook w:val="04A0"/>
        </w:tblPrEx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Женщины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Мужчины</w:t>
            </w:r>
          </w:p>
        </w:tc>
      </w:tr>
      <w:tr>
        <w:tblPrEx>
          <w:tblW w:w="14601" w:type="dxa"/>
          <w:tblInd w:w="221" w:type="dxa"/>
          <w:tblLayout w:type="fixed"/>
          <w:tblLook w:val="04A0"/>
        </w:tblPrEx>
        <w:trPr>
          <w:trHeight w:val="276"/>
        </w:trPr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30</w:t>
            </w:r>
            <w:r>
              <w:rPr>
                <w:rFonts w:ascii="PT Astra Serif" w:hAnsi="PT Astra Serif"/>
                <w:sz w:val="24"/>
                <w:szCs w:val="24"/>
                <w:lang w:val="en-US" w:eastAsia="en-US" w:bidi="en-US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в пределах штатной численности)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5 000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5 000</w:t>
            </w:r>
          </w:p>
        </w:tc>
      </w:tr>
    </w:tbl>
    <w:p>
      <w:pPr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 18. Нормативы, применяемые при расчете нормативных затрат на специальную оценку условий труда</w:t>
      </w:r>
    </w:p>
    <w:tbl>
      <w:tblPr>
        <w:tblW w:w="14601" w:type="dxa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338"/>
        <w:gridCol w:w="7263"/>
      </w:tblGrid>
      <w:tr>
        <w:tblPrEx>
          <w:tblW w:w="14601" w:type="dxa"/>
          <w:tblInd w:w="221" w:type="dxa"/>
          <w:tblLayout w:type="fixed"/>
          <w:tblLook w:val="04A0"/>
        </w:tblPrEx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Количество рабочих мест, подлежащих специальной оценке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Цена проведения специальной оценки одного рабочего места, руб.</w:t>
            </w:r>
          </w:p>
        </w:tc>
      </w:tr>
      <w:tr>
        <w:tblPrEx>
          <w:tblW w:w="14601" w:type="dxa"/>
          <w:tblInd w:w="221" w:type="dxa"/>
          <w:tblLayout w:type="fixed"/>
          <w:tblLook w:val="04A0"/>
        </w:tblPrEx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20</w:t>
            </w:r>
          </w:p>
        </w:tc>
        <w:tc>
          <w:tcPr>
            <w:tcW w:w="7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/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eastAsia="en-US" w:bidi="en-US"/>
              </w:rPr>
              <w:t>до 1 400</w:t>
            </w:r>
          </w:p>
        </w:tc>
      </w:tr>
    </w:tbl>
    <w:p>
      <w:pPr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 19. Нормативы, применяемые при расчете нормативных затрат на приобретение транспортных средств</w:t>
      </w:r>
    </w:p>
    <w:tbl>
      <w:tblPr>
        <w:tblW w:w="14601" w:type="dxa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678"/>
        <w:gridCol w:w="3827"/>
        <w:gridCol w:w="2977"/>
        <w:gridCol w:w="3119"/>
      </w:tblGrid>
      <w:tr>
        <w:tblPrEx>
          <w:tblW w:w="14601" w:type="dxa"/>
          <w:tblInd w:w="221" w:type="dxa"/>
          <w:tblLayout w:type="fixed"/>
          <w:tblLook w:val="00A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widowControl w:val="0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Категория/ группа должностей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 w:val="0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 w:val="0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за ед., руб.</w:t>
            </w:r>
          </w:p>
        </w:tc>
      </w:tr>
      <w:tr>
        <w:tblPrEx>
          <w:tblW w:w="14601" w:type="dxa"/>
          <w:tblInd w:w="221" w:type="dxa"/>
          <w:tblLayout w:type="fixed"/>
          <w:tblLook w:val="00A0"/>
        </w:tblPrEx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widowControl w:val="0"/>
              <w:spacing w:before="0" w:after="0"/>
              <w:contextualSpacing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Руководители/ высшая группа должностей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транспортное средство (легковое)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 w:val="0"/>
              <w:spacing w:before="0" w:after="0"/>
              <w:contextualSpacing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не более 1 единицы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widowControl w:val="0"/>
              <w:spacing w:before="0" w:after="0"/>
              <w:contextualSpacing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не более 1 500 000</w:t>
            </w:r>
          </w:p>
        </w:tc>
      </w:tr>
    </w:tbl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 20. Нормативы, применяемые при расчете нормативных затрат на приобретение мебели и иных товаров</w:t>
      </w:r>
    </w:p>
    <w:tbl>
      <w:tblPr>
        <w:tblW w:w="14616" w:type="dxa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126"/>
        <w:gridCol w:w="3855"/>
        <w:gridCol w:w="4366"/>
        <w:gridCol w:w="2269"/>
      </w:tblGrid>
      <w:tr>
        <w:tblPrEx>
          <w:tblW w:w="14616" w:type="dxa"/>
          <w:tblInd w:w="206" w:type="dxa"/>
          <w:tblLayout w:type="fixed"/>
          <w:tblLook w:val="04A0"/>
        </w:tblPrEx>
        <w:trPr>
          <w:trHeight w:val="51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Категории / группы должностей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предметов мебели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 1 шт. (руб.)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194"/>
        </w:trPr>
        <w:tc>
          <w:tcPr>
            <w:tcW w:w="14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Круглый зал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Руководители/ высшая группа 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стол для переговоров большой 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150 000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tcBorders>
              <w:left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должностей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стулья 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50 единиц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14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Приемная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Специалисты/ группа старших должностей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стол с ящиками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tcBorders>
              <w:left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шкаф для документов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tcBorders>
              <w:left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шкаф гардеробный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кресло офисное 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 на сотрудника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стул для посетителей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настольная лампа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14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Кабинеты государственных гражданских служащих категории Руководитель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Категория Руководители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стол с приставкой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стол с тумбой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приставка к офисному столу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тумба большая для офиса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шкаф для одежды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шкаф для документов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4 единиц на кабинет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4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кресло офисное 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 на сотрудника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64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стул для посетителей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15 единиц на кабинет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67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тумба под оргтехнику 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67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настольная лампа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72"/>
        </w:trPr>
        <w:tc>
          <w:tcPr>
            <w:tcW w:w="14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Кабинеты государственных гражданских служащих категории Специалисты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62"/>
        </w:trPr>
        <w:tc>
          <w:tcPr>
            <w:tcW w:w="4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Категория Специалисты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стол с приставкой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62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стол тумбой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62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греденция для офиса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459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кресло офисное 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69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шкаф гардеробный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59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шкаф для документов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 единиц на   сотрудника</w:t>
            </w:r>
            <w:r>
              <w:rPr>
                <w:rFonts w:ascii="PT Astra Serif" w:hAnsi="PT Astra Serif"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59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настольная лампа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15 000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259"/>
        </w:trPr>
        <w:tc>
          <w:tcPr>
            <w:tcW w:w="146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Кабинет - архив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654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Специалисты/ группа старших </w:t>
            </w:r>
          </w:p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должностей</w:t>
            </w:r>
          </w:p>
        </w:tc>
        <w:tc>
          <w:tcPr>
            <w:tcW w:w="3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стеллаж архивный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5 единиц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15 000</w:t>
            </w:r>
          </w:p>
        </w:tc>
      </w:tr>
    </w:tbl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4"/>
          <w:szCs w:val="24"/>
        </w:rPr>
        <w:t>Та</w:t>
      </w:r>
      <w:r>
        <w:rPr>
          <w:rFonts w:ascii="PT Astra Serif" w:hAnsi="PT Astra Serif"/>
          <w:sz w:val="28"/>
          <w:szCs w:val="28"/>
        </w:rPr>
        <w:t xml:space="preserve">блица 21. Нормативы, применяемые при расчете нормативных затрат </w:t>
      </w:r>
      <w:r>
        <w:rPr>
          <w:rFonts w:ascii="PT Astra Serif" w:hAnsi="PT Astra Serif"/>
          <w:bCs/>
          <w:sz w:val="28"/>
          <w:szCs w:val="28"/>
        </w:rPr>
        <w:t xml:space="preserve">на приобретение, </w:t>
      </w:r>
      <w:r>
        <w:rPr>
          <w:rFonts w:ascii="PT Astra Serif" w:hAnsi="PT Astra Serif"/>
          <w:sz w:val="28"/>
          <w:szCs w:val="28"/>
        </w:rPr>
        <w:t>обслуживание и регламентно-профилактический ремонт систем кондиционирования</w:t>
      </w:r>
    </w:p>
    <w:tbl>
      <w:tblPr>
        <w:tblW w:w="14616" w:type="dxa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56"/>
        <w:gridCol w:w="3806"/>
        <w:gridCol w:w="3344"/>
        <w:gridCol w:w="3210"/>
      </w:tblGrid>
      <w:tr>
        <w:tblPrEx>
          <w:tblW w:w="14616" w:type="dxa"/>
          <w:tblInd w:w="206" w:type="dxa"/>
          <w:tblLayout w:type="fixed"/>
          <w:tblLook w:val="04A0"/>
        </w:tblPrEx>
        <w:trPr>
          <w:trHeight w:val="361"/>
        </w:trPr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Количество, ед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приобретения 1 единицу, руб.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за обслуживание и регламентно-профилактический ремонт систем кондиционирования</w:t>
            </w:r>
          </w:p>
        </w:tc>
      </w:tr>
      <w:tr>
        <w:tblPrEx>
          <w:tblW w:w="14616" w:type="dxa"/>
          <w:tblInd w:w="206" w:type="dxa"/>
          <w:tblLayout w:type="fixed"/>
          <w:tblLook w:val="04A0"/>
        </w:tblPrEx>
        <w:trPr>
          <w:trHeight w:val="397"/>
        </w:trPr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Кондиционер, сплит-система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более 1 единицы на кабинет, </w:t>
            </w:r>
          </w:p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для серверной не более 2 единиц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150 000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8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100 000</w:t>
            </w:r>
          </w:p>
        </w:tc>
      </w:tr>
    </w:tbl>
    <w:p>
      <w:pPr>
        <w:pStyle w:val="ConsPlusNormal"/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Таблица 22. Нормативы, применяемые при расчете нормативных затрат </w:t>
        <w:br/>
      </w:r>
      <w:r>
        <w:rPr>
          <w:rFonts w:ascii="PT Astra Serif" w:hAnsi="PT Astra Serif"/>
          <w:bCs/>
          <w:sz w:val="28"/>
          <w:szCs w:val="28"/>
        </w:rPr>
        <w:t xml:space="preserve">на </w:t>
      </w:r>
      <w:r>
        <w:rPr>
          <w:rFonts w:ascii="PT Astra Serif" w:hAnsi="PT Astra Serif"/>
          <w:sz w:val="28"/>
          <w:szCs w:val="28"/>
        </w:rPr>
        <w:t>приобретение канцелярских принадлежностей</w:t>
      </w:r>
    </w:p>
    <w:tbl>
      <w:tblPr>
        <w:tblW w:w="14597" w:type="dxa"/>
        <w:tblInd w:w="6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9"/>
        <w:gridCol w:w="5245"/>
        <w:gridCol w:w="2693"/>
        <w:gridCol w:w="2060"/>
      </w:tblGrid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Категории / группы должностей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предмета канцелярских принадлежностей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 на 1 специалиста в год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за ед. (руб.)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175"/>
        </w:trPr>
        <w:tc>
          <w:tcPr>
            <w:tcW w:w="4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6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антистеплер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140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архивный короб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батарейки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6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600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блок для заметок сменный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4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блок на спирали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4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280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бумага А4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30 пачек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450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бумага  А3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пачки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900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блокнот А5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блок –кубик с клеевым краем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бумага цветная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 пачек на комитет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950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датер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 на кабинет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2300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дырокол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1600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ежедневник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700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зажим для бумаг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 упаковок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500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закладки с клеевым краем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4 наборов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календарь производственный (квартальный)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 менее 5 шт.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калькулятор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1500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карандаш механический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карандаш черный графический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5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65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клей ПВА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180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клей-карандаш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8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книга учета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550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кнопки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упаковки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коврик для мыши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корректирующая жидкость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ластик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70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лезвия запасные для ножа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280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линейка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80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лоток для бумаг (горизонтальный/ вертикальный)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маркеры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5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600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нитки для прошива документов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780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нож канцелярский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ножницы канцелярские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400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упаковка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органайзер на рабочий стол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1500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оснастка для штампа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900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папка-файл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упаковка (в упаковке 100 шт.)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400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папка-скоросшиватель бумажная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500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 архивная на завязках с гребешками А4,70 мм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180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500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папка-конверт на молнии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 на резинке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 с арочным механизмом тип «Корона»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650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 с завязками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4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 с зажимом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 с кнопкой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 с прозрачным верхом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 с пружинным механизмом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 с файлами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6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680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папка-портфель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планинг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700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планшет А4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400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папка-уголок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папка-файл с боковой перфорацией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13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подставка для блока</w:t>
            </w:r>
          </w:p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(90 мм x 90 мм x 90 мм, пластик)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подставка под ручки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700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подушка гелевая для пальцев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переплет обложка картонная А4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 на подразделение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1500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переплет обложка пластиковая А4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шт.на подразделение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1800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40"/>
        </w:trPr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подкладка на стол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40"/>
        </w:trPr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пружины для переплета пластиковые 50 штук в упаковке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1077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разделитель листов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 упак.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ручка гелевая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ручка шариковая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170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салфетки для оргтехники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4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500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самонаборный штамп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 шт. на подразделение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скобы для степлера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4 упак.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скоросшиватель картонный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80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скоросшиватель пластиковый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скотч 19 мм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скотч 50 мм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скрепки 25 мм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6 упак.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скрепки 50 мм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упак.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скотч двухсторонний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550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скрепочница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степлер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900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стержни гелевые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6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стержни для автоматических карандашей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 упак.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50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стержни для шариковых ручек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12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60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стикеры на подпись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3-х наборов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600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тетради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точилка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штамп самонаборный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1000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шило канцелярское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300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3"/>
        </w:trPr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штемпельная краска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2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400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3"/>
        </w:trPr>
        <w:tc>
          <w:tcPr>
            <w:tcW w:w="4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штемпельная подушка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 шт.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6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500</w:t>
            </w:r>
          </w:p>
        </w:tc>
      </w:tr>
    </w:tbl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Таблица 23. Нормативы, применяемые при расчете нормативных затрат </w:t>
      </w:r>
      <w:r>
        <w:rPr>
          <w:rFonts w:ascii="PT Astra Serif" w:hAnsi="PT Astra Serif"/>
          <w:bCs/>
          <w:sz w:val="28"/>
          <w:szCs w:val="28"/>
        </w:rPr>
        <w:t xml:space="preserve">на </w:t>
      </w:r>
      <w:r>
        <w:rPr>
          <w:rFonts w:ascii="PT Astra Serif" w:hAnsi="PT Astra Serif"/>
          <w:sz w:val="28"/>
          <w:szCs w:val="28"/>
        </w:rPr>
        <w:t xml:space="preserve">приобретение </w:t>
        <w:br/>
        <w:t>почтовых принадлежностей и знаков почтовой оплаты на Департамент</w:t>
      </w:r>
    </w:p>
    <w:tbl>
      <w:tblPr>
        <w:tblW w:w="14597" w:type="dxa"/>
        <w:tblInd w:w="6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49"/>
        <w:gridCol w:w="3684"/>
        <w:gridCol w:w="2268"/>
        <w:gridCol w:w="1561"/>
        <w:gridCol w:w="2835"/>
      </w:tblGrid>
      <w:tr>
        <w:tblPrEx>
          <w:tblW w:w="14597" w:type="dxa"/>
          <w:tblInd w:w="66" w:type="dxa"/>
          <w:tblLayout w:type="fixed"/>
          <w:tblLook w:val="0000"/>
        </w:tblPrEx>
        <w:trPr>
          <w:trHeight w:val="1070"/>
        </w:trPr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Категории / группы должностей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предмета канцелярских принадлежностей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за единицу, руб.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2"/>
        </w:trPr>
        <w:tc>
          <w:tcPr>
            <w:tcW w:w="4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74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конверты немаркированные (формат 162х229)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5,00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2"/>
        </w:trPr>
        <w:tc>
          <w:tcPr>
            <w:tcW w:w="4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конверты немаркированные (формат 229х324)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12,00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2"/>
        </w:trPr>
        <w:tc>
          <w:tcPr>
            <w:tcW w:w="4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маркированный конверт 114x162 мм с литерой «А»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44,00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2"/>
        </w:trPr>
        <w:tc>
          <w:tcPr>
            <w:tcW w:w="4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марка 76 руб.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76,00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2"/>
        </w:trPr>
        <w:tc>
          <w:tcPr>
            <w:tcW w:w="4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марка 50 руб.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50,00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2"/>
        </w:trPr>
        <w:tc>
          <w:tcPr>
            <w:tcW w:w="4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марка 33 руб.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33,00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2"/>
        </w:trPr>
        <w:tc>
          <w:tcPr>
            <w:tcW w:w="4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марка 25 руб.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25,00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2"/>
        </w:trPr>
        <w:tc>
          <w:tcPr>
            <w:tcW w:w="4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марка 10 руб.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10,00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2"/>
        </w:trPr>
        <w:tc>
          <w:tcPr>
            <w:tcW w:w="4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марка 6 руб.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6,00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2"/>
        </w:trPr>
        <w:tc>
          <w:tcPr>
            <w:tcW w:w="4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марка 5 руб.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5,00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2"/>
        </w:trPr>
        <w:tc>
          <w:tcPr>
            <w:tcW w:w="4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марка 4 руб.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4,00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2"/>
        </w:trPr>
        <w:tc>
          <w:tcPr>
            <w:tcW w:w="4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марка 3 руб.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3,00</w:t>
            </w:r>
          </w:p>
        </w:tc>
      </w:tr>
      <w:tr>
        <w:tblPrEx>
          <w:tblW w:w="14597" w:type="dxa"/>
          <w:tblInd w:w="66" w:type="dxa"/>
          <w:tblLayout w:type="fixed"/>
          <w:tblLook w:val="0000"/>
        </w:tblPrEx>
        <w:trPr>
          <w:trHeight w:val="362"/>
        </w:trPr>
        <w:tc>
          <w:tcPr>
            <w:tcW w:w="4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марка 2 руб.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ind w:firstLine="74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2,00</w:t>
            </w:r>
          </w:p>
        </w:tc>
      </w:tr>
    </w:tbl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spacing w:before="0" w:after="0"/>
        <w:ind w:left="0" w:right="0" w:firstLine="0"/>
        <w:contextualSpacing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Таблица 24. Нормативы, применяемые при расчете затрат на приобретение и установку жалюзи для окон</w:t>
      </w:r>
    </w:p>
    <w:tbl>
      <w:tblPr>
        <w:tblW w:w="14488" w:type="dxa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954"/>
        <w:gridCol w:w="4677"/>
        <w:gridCol w:w="3857"/>
      </w:tblGrid>
      <w:tr>
        <w:tblPrEx>
          <w:tblW w:w="14488" w:type="dxa"/>
          <w:tblInd w:w="221" w:type="dxa"/>
          <w:tblLayout w:type="fixed"/>
          <w:tblLook w:val="04A0"/>
        </w:tblPrEx>
        <w:trPr>
          <w:trHeight w:val="510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Количество, м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за 1 м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r>
              <w:rPr>
                <w:rFonts w:ascii="PT Astra Serif" w:hAnsi="PT Astra Serif"/>
                <w:sz w:val="24"/>
                <w:szCs w:val="24"/>
              </w:rPr>
              <w:t>, руб.</w:t>
            </w:r>
          </w:p>
        </w:tc>
      </w:tr>
      <w:tr>
        <w:tblPrEx>
          <w:tblW w:w="14488" w:type="dxa"/>
          <w:tblInd w:w="221" w:type="dxa"/>
          <w:tblLayout w:type="fixed"/>
          <w:tblLook w:val="04A0"/>
        </w:tblPrEx>
        <w:trPr>
          <w:trHeight w:val="510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Поставка и установка жалюзи для окон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6 м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>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на каждое окно</w:t>
            </w:r>
          </w:p>
        </w:tc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ind w:firstLine="851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  <w:r>
              <w:rPr>
                <w:rFonts w:ascii="PT Astra Serif" w:hAnsi="PT Astra Serif"/>
                <w:sz w:val="24"/>
                <w:szCs w:val="24"/>
              </w:rPr>
              <w:t> 000,00</w:t>
            </w:r>
          </w:p>
        </w:tc>
      </w:tr>
    </w:tbl>
    <w:p>
      <w:pPr>
        <w:pStyle w:val="ConsPlusNormal"/>
        <w:spacing w:before="0" w:after="0"/>
        <w:ind w:firstLine="851"/>
        <w:contextualSpacing/>
        <w:jc w:val="center"/>
        <w:rPr>
          <w:rFonts w:ascii="PT Astra Serif" w:hAnsi="PT Astra Serif"/>
          <w:sz w:val="24"/>
          <w:szCs w:val="24"/>
        </w:rPr>
      </w:pPr>
    </w:p>
    <w:p>
      <w:pPr>
        <w:pStyle w:val="ConsPlusNormal"/>
        <w:spacing w:before="0" w:after="0"/>
        <w:ind w:left="0" w:right="0" w:firstLine="0"/>
        <w:contextualSpacing/>
        <w:jc w:val="center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Таблица 25. Нормативы, применяемые при расчете нормативных затрат на приобретение </w:t>
      </w:r>
      <w:r>
        <w:rPr>
          <w:rFonts w:ascii="PT Astra Serif" w:hAnsi="PT Astra Serif"/>
          <w:sz w:val="28"/>
          <w:szCs w:val="28"/>
        </w:rPr>
        <w:t xml:space="preserve">(продление) простых (неисключительных) лицензий на использование программного обеспечения, в том числе по защите информации </w:t>
      </w:r>
    </w:p>
    <w:tbl>
      <w:tblPr>
        <w:tblW w:w="14598" w:type="dxa"/>
        <w:jc w:val="center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73"/>
        <w:gridCol w:w="3986"/>
        <w:gridCol w:w="1825"/>
        <w:gridCol w:w="2410"/>
        <w:gridCol w:w="3404"/>
      </w:tblGrid>
      <w:tr>
        <w:tblPrEx>
          <w:tblW w:w="14598" w:type="dxa"/>
          <w:jc w:val="center"/>
          <w:tblInd w:w="0" w:type="dxa"/>
          <w:tblLayout w:type="fixed"/>
          <w:tblLook w:val="0000"/>
        </w:tblPrEx>
        <w:trPr>
          <w:trHeight w:val="1070"/>
          <w:jc w:val="center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Категории/группы должностей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Наименование предмета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Цена за единицу, руб.</w:t>
            </w:r>
          </w:p>
        </w:tc>
      </w:tr>
      <w:tr>
        <w:tblPrEx>
          <w:tblW w:w="14598" w:type="dxa"/>
          <w:jc w:val="center"/>
          <w:tblInd w:w="0" w:type="dxa"/>
          <w:tblLayout w:type="fixed"/>
          <w:tblLook w:val="0000"/>
        </w:tblPrEx>
        <w:trPr>
          <w:trHeight w:val="362"/>
          <w:jc w:val="center"/>
        </w:trPr>
        <w:tc>
          <w:tcPr>
            <w:tcW w:w="29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 категории и группы должностей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продление лицензии на программу сдачи налоговой отчетности СКБ СБИС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9 000,00</w:t>
            </w:r>
          </w:p>
        </w:tc>
      </w:tr>
      <w:tr>
        <w:tblPrEx>
          <w:tblW w:w="14598" w:type="dxa"/>
          <w:jc w:val="center"/>
          <w:tblInd w:w="0" w:type="dxa"/>
          <w:tblLayout w:type="fixed"/>
          <w:tblLook w:val="0000"/>
        </w:tblPrEx>
        <w:trPr>
          <w:trHeight w:val="362"/>
          <w:jc w:val="center"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/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оказание услуг по консультационному сопровождению бухгалтерских программных продуктов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20 000,00</w:t>
            </w:r>
          </w:p>
        </w:tc>
      </w:tr>
      <w:tr>
        <w:tblPrEx>
          <w:tblW w:w="14598" w:type="dxa"/>
          <w:jc w:val="center"/>
          <w:tblInd w:w="0" w:type="dxa"/>
          <w:tblLayout w:type="fixed"/>
          <w:tblLook w:val="0000"/>
        </w:tblPrEx>
        <w:trPr>
          <w:trHeight w:val="362"/>
          <w:jc w:val="center"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лицензия КриптоПро CSP 5.0 и выше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на сотрудника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6 000,00</w:t>
            </w:r>
          </w:p>
        </w:tc>
      </w:tr>
      <w:tr>
        <w:tblPrEx>
          <w:tblW w:w="14598" w:type="dxa"/>
          <w:jc w:val="center"/>
          <w:tblInd w:w="0" w:type="dxa"/>
          <w:tblLayout w:type="fixed"/>
          <w:tblLook w:val="0000"/>
        </w:tblPrEx>
        <w:trPr>
          <w:trHeight w:val="362"/>
          <w:jc w:val="center"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передача права на использование ПО VipNet Client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сотрудник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20 000,00</w:t>
            </w:r>
          </w:p>
        </w:tc>
      </w:tr>
      <w:tr>
        <w:tblPrEx>
          <w:tblW w:w="14598" w:type="dxa"/>
          <w:jc w:val="center"/>
          <w:tblInd w:w="0" w:type="dxa"/>
          <w:tblLayout w:type="fixed"/>
          <w:tblLook w:val="0000"/>
        </w:tblPrEx>
        <w:trPr>
          <w:trHeight w:val="362"/>
          <w:jc w:val="center"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лицензия на право использования СКЗИ КриптоПро CSP   на сервере и выше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center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50 000,00</w:t>
            </w:r>
          </w:p>
        </w:tc>
      </w:tr>
      <w:tr>
        <w:tblPrEx>
          <w:tblW w:w="14598" w:type="dxa"/>
          <w:jc w:val="center"/>
          <w:tblInd w:w="0" w:type="dxa"/>
          <w:tblLayout w:type="fixed"/>
          <w:tblLook w:val="0000"/>
        </w:tblPrEx>
        <w:trPr>
          <w:trHeight w:val="362"/>
          <w:jc w:val="center"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дистрибутив СКЗИ КриптоПро CSP версии 5.0 КС1 и КС2 на CD формуляры и выше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3 000,00</w:t>
            </w:r>
          </w:p>
        </w:tc>
      </w:tr>
      <w:tr>
        <w:tblPrEx>
          <w:tblW w:w="14598" w:type="dxa"/>
          <w:jc w:val="center"/>
          <w:tblInd w:w="0" w:type="dxa"/>
          <w:tblLayout w:type="fixed"/>
          <w:tblLook w:val="0000"/>
        </w:tblPrEx>
        <w:trPr>
          <w:trHeight w:val="362"/>
          <w:jc w:val="center"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установочный дистрибутив ПО VipNet Client for Windows 5.0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на сотрудника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1 500,00</w:t>
            </w:r>
          </w:p>
        </w:tc>
      </w:tr>
      <w:tr>
        <w:tblPrEx>
          <w:tblW w:w="14598" w:type="dxa"/>
          <w:jc w:val="center"/>
          <w:tblInd w:w="0" w:type="dxa"/>
          <w:tblLayout w:type="fixed"/>
          <w:tblLook w:val="0000"/>
        </w:tblPrEx>
        <w:trPr>
          <w:trHeight w:val="362"/>
          <w:jc w:val="center"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приобретение лицензий на отечественную операционную систему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на сотрудника или сервер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20 000,00</w:t>
            </w:r>
          </w:p>
        </w:tc>
      </w:tr>
      <w:tr>
        <w:tblPrEx>
          <w:tblW w:w="14598" w:type="dxa"/>
          <w:jc w:val="center"/>
          <w:tblInd w:w="0" w:type="dxa"/>
          <w:tblLayout w:type="fixed"/>
          <w:tblLook w:val="0000"/>
        </w:tblPrEx>
        <w:trPr>
          <w:trHeight w:val="362"/>
          <w:jc w:val="center"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приобретение лицензий на офисный пакет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1 на сотрудника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29 000,00</w:t>
            </w:r>
          </w:p>
        </w:tc>
      </w:tr>
      <w:tr>
        <w:tblPrEx>
          <w:tblW w:w="14598" w:type="dxa"/>
          <w:jc w:val="center"/>
          <w:tblInd w:w="0" w:type="dxa"/>
          <w:tblLayout w:type="fixed"/>
          <w:tblLook w:val="0000"/>
        </w:tblPrEx>
        <w:trPr>
          <w:trHeight w:val="362"/>
          <w:jc w:val="center"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/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  <w:vAlign w:val="bottom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защита от несанкционированного доступа для персонального компьютеры (комплект установки)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textDirection w:val="lrTb"/>
          </w:tcPr>
          <w:p>
            <w:pPr>
              <w:pStyle w:val="ConsPlusNormal"/>
              <w:spacing w:before="0" w:after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более 50 000,00</w:t>
            </w:r>
          </w:p>
        </w:tc>
      </w:tr>
    </w:tbl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p>
      <w:pPr>
        <w:pStyle w:val="ConsPlusTitle"/>
        <w:spacing w:before="0" w:after="0"/>
        <w:contextualSpacing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ab/>
        <w:t>В связи со служебной необходимостью кол</w:t>
      </w:r>
      <w:r>
        <w:rPr>
          <w:rFonts w:ascii="PT Astra Serif" w:hAnsi="PT Astra Serif"/>
          <w:b w:val="0"/>
          <w:sz w:val="28"/>
          <w:szCs w:val="28"/>
        </w:rPr>
        <w:t>ичество товаров, работ, услуг может отличаться от установленного настоящими нормативными затратами. В таких случаях закупка осуществляется в пределах доведенных лимитов бюджетных обязательств на обеспечение функций Департамента ветеринарии Томской области.</w:t>
      </w:r>
    </w:p>
    <w:p>
      <w:pPr>
        <w:widowControl w:val="0"/>
        <w:spacing w:before="0" w:after="0"/>
        <w:contextualSpacing/>
        <w:jc w:val="both"/>
        <w:rPr>
          <w:sz w:val="28"/>
          <w:szCs w:val="28"/>
        </w:rPr>
      </w:pPr>
    </w:p>
    <w:sectPr>
      <w:headerReference w:type="default" r:id="rId59"/>
      <w:headerReference w:type="first" r:id="rId60"/>
      <w:type w:val="nextPage"/>
      <w:pgSz w:w="16838" w:h="11906" w:orient="landscape"/>
      <w:pgMar w:top="2099" w:right="1134" w:bottom="1134" w:left="1134" w:header="1134" w:footer="0" w:gutter="0"/>
      <w:cols w:num="1" w:sep="0" w:space="1701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FreeSans">
    <w:panose1 w:val="020B0504020202020204"/>
    <w:charset w:val="00"/>
    <w:family w:val="auto"/>
    <w:pitch w:val="default"/>
  </w:font>
  <w:font w:name="Noto Sans CJK SC">
    <w:panose1 w:val="020B0500000000000000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widowControl/>
      <w:spacing w:before="120" w:after="24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 w:after="24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</w:instrText>
    </w:r>
    <w:r>
      <w:rPr>
        <w:rFonts w:ascii="PT Astra Serif" w:hAnsi="PT Astra Serif"/>
        <w:szCs w:val="28"/>
      </w:rPr>
      <w:fldChar w:fldCharType="separate"/>
    </w:r>
    <w:r>
      <w:rPr>
        <w:rFonts w:ascii="PT Astra Serif" w:hAnsi="PT Astra Serif"/>
        <w:szCs w:val="28"/>
      </w:rPr>
      <w:t>2</w:t>
    </w:r>
    <w:r>
      <w:rPr>
        <w:rFonts w:ascii="PT Astra Serif" w:hAnsi="PT Astra Serif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before="0" w:after="120"/>
      <w:jc w:val="center"/>
      <w:rPr>
        <w:rFonts w:ascii="PT Astra Serif" w:hAnsi="PT Astra Serif" w:cs="PT Astra Serif"/>
        <w:b/>
        <w:sz w:val="12"/>
        <w:szCs w:val="12"/>
      </w:rPr>
    </w:pPr>
    <w:r>
      <w:drawing>
        <wp:inline distT="0" distB="0" distL="0" distR="0">
          <wp:extent cx="716280" cy="655320"/>
          <wp:effectExtent l="0" t="0" r="0" b="7620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6400" cy="655200"/>
                  </a:xfrm>
                  <a:prstGeom prst="rect">
                    <a:avLst/>
                  </a:prstGeom>
                  <a:noFill/>
                  <a:ln w="0">
                    <a:noFill/>
                  </a:ln>
                </pic:spPr>
              </pic:pic>
            </a:graphicData>
          </a:graphic>
        </wp:inline>
      </w:drawing>
    </w:r>
  </w:p>
  <w:p>
    <w:pPr>
      <w:pStyle w:val="ListParagraph"/>
      <w:spacing w:line="362" w:lineRule="exact"/>
      <w:ind w:left="0"/>
      <w:jc w:val="center"/>
      <w:rPr>
        <w:rFonts w:ascii="PT Astra Serif" w:hAnsi="PT Astra Serif"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</w:t>
    </w:r>
    <w:r>
      <w:rPr>
        <w:rFonts w:ascii="PT Astra Serif" w:eastAsia="PT Astra Serif" w:hAnsi="PT Astra Serif"/>
        <w:b/>
        <w:bCs/>
        <w:sz w:val="30"/>
        <w:szCs w:val="30"/>
      </w:rPr>
      <w:t>ВЕТЕРИНАРИИ ТОМСКОЙ ОБЛАСТИ</w:t>
    </w:r>
  </w:p>
  <w:p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 w:after="240"/>
      <w:rPr>
        <w:rFonts w:ascii="PT Astra Serif" w:hAnsi="PT Astra Serif"/>
        <w:b w:val="0"/>
        <w:bCs w:val="0"/>
        <w:szCs w:val="28"/>
      </w:rPr>
    </w:pPr>
    <w:r>
      <w:rPr>
        <w:rFonts w:ascii="PT Astra Serif" w:hAnsi="PT Astra Serif"/>
        <w:b w:val="0"/>
        <w:bCs w:val="0"/>
        <w:szCs w:val="28"/>
      </w:rPr>
      <w:fldChar w:fldCharType="begin"/>
    </w:r>
    <w:r>
      <w:rPr>
        <w:rFonts w:ascii="PT Astra Serif" w:hAnsi="PT Astra Serif"/>
        <w:b w:val="0"/>
        <w:bCs w:val="0"/>
        <w:szCs w:val="28"/>
      </w:rPr>
      <w:instrText xml:space="preserve"> PAGE </w:instrText>
    </w:r>
    <w:r>
      <w:rPr>
        <w:rFonts w:ascii="PT Astra Serif" w:hAnsi="PT Astra Serif"/>
        <w:b w:val="0"/>
        <w:bCs w:val="0"/>
        <w:szCs w:val="28"/>
      </w:rPr>
      <w:fldChar w:fldCharType="separate"/>
    </w:r>
    <w:r>
      <w:rPr>
        <w:rFonts w:ascii="PT Astra Serif" w:hAnsi="PT Astra Serif"/>
        <w:b w:val="0"/>
        <w:bCs w:val="0"/>
        <w:szCs w:val="28"/>
      </w:rPr>
      <w:t>2</w:t>
    </w:r>
    <w:r>
      <w:rPr>
        <w:rFonts w:ascii="PT Astra Serif" w:hAnsi="PT Astra Serif"/>
        <w:b w:val="0"/>
        <w:bCs w:val="0"/>
        <w:szCs w:val="28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120" w:after="240"/>
      <w:jc w:val="center"/>
      <w:rPr>
        <w:rFonts w:ascii="PT Astra Serif" w:hAnsi="PT Astra Serif" w:cs="PT Astra Serif"/>
        <w:b w:val="0"/>
        <w:bCs w:val="0"/>
      </w:rPr>
    </w:pPr>
    <w:bookmarkStart w:id="3" w:name="PageNumWizard_HEADER_Альбомный21"/>
    <w:r>
      <w:rPr>
        <w:b w:val="0"/>
        <w:bCs w:val="0"/>
      </w:rPr>
      <w:fldChar w:fldCharType="begin"/>
    </w:r>
    <w:r>
      <w:rPr>
        <w:b w:val="0"/>
        <w:bCs w:val="0"/>
      </w:rPr>
      <w:instrText xml:space="preserve"> PAGE </w:instrText>
    </w:r>
    <w:r>
      <w:rPr>
        <w:rFonts w:ascii="PT Astra Serif" w:hAnsi="PT Astra Serif" w:cs="PT Astra Serif"/>
        <w:b w:val="0"/>
        <w:bCs w:val="0"/>
      </w:rPr>
      <w:fldChar w:fldCharType="separate"/>
    </w:r>
    <w:r>
      <w:rPr>
        <w:rFonts w:ascii="PT Astra Serif" w:hAnsi="PT Astra Serif" w:cs="PT Astra Serif"/>
        <w:b w:val="0"/>
        <w:bCs w:val="0"/>
      </w:rPr>
      <w:t>21</w:t>
    </w:r>
    <w:r>
      <w:rPr>
        <w:rFonts w:ascii="PT Astra Serif" w:hAnsi="PT Astra Serif" w:cs="PT Astra Serif"/>
        <w:b w:val="0"/>
        <w:bCs w:val="0"/>
      </w:rPr>
      <w:fldChar w:fldCharType="end"/>
    </w:r>
    <w:bookmarkEnd w:id="3"/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/>
      <w:spacing w:before="0" w:after="0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ru-RU" w:eastAsia="ru-RU" w:bidi="ar-SA"/>
    </w:rPr>
  </w:style>
  <w:style w:type="paragraph" w:styleId="Heading1">
    <w:name w:val="heading 1"/>
    <w:link w:val="1"/>
    <w:uiPriority w:val="9"/>
    <w:qFormat/>
    <w:pPr>
      <w:keepNext/>
      <w:keepLines/>
      <w:widowControl/>
      <w:spacing w:before="480" w:after="200"/>
      <w:jc w:val="left"/>
      <w:outlineLvl w:val="0"/>
    </w:pPr>
    <w:rPr>
      <w:rFonts w:ascii="Arial" w:eastAsia="Arial" w:hAnsi="Arial" w:cs="Times New Roman"/>
      <w:color w:val="auto"/>
      <w:sz w:val="40"/>
      <w:szCs w:val="40"/>
      <w:lang w:val="ru-RU" w:eastAsia="ru-RU" w:bidi="ar-SA"/>
    </w:rPr>
  </w:style>
  <w:style w:type="paragraph" w:styleId="Heading2">
    <w:name w:val="heading 2"/>
    <w:link w:val="2"/>
    <w:uiPriority w:val="9"/>
    <w:unhideWhenUsed/>
    <w:qFormat/>
    <w:pPr>
      <w:keepNext/>
      <w:keepLines/>
      <w:widowControl/>
      <w:spacing w:before="360" w:after="200"/>
      <w:jc w:val="left"/>
      <w:outlineLvl w:val="1"/>
    </w:pPr>
    <w:rPr>
      <w:rFonts w:ascii="Arial" w:eastAsia="Arial" w:hAnsi="Arial" w:cs="Times New Roman"/>
      <w:color w:val="auto"/>
      <w:sz w:val="34"/>
      <w:szCs w:val="20"/>
      <w:lang w:val="ru-RU" w:eastAsia="ru-RU" w:bidi="ar-SA"/>
    </w:rPr>
  </w:style>
  <w:style w:type="paragraph" w:styleId="Heading3">
    <w:name w:val="heading 3"/>
    <w:link w:val="3"/>
    <w:uiPriority w:val="9"/>
    <w:unhideWhenUsed/>
    <w:qFormat/>
    <w:pPr>
      <w:keepNext/>
      <w:keepLines/>
      <w:widowControl/>
      <w:spacing w:before="320" w:after="200"/>
      <w:jc w:val="left"/>
      <w:outlineLvl w:val="2"/>
    </w:pPr>
    <w:rPr>
      <w:rFonts w:ascii="Arial" w:eastAsia="Arial" w:hAnsi="Arial" w:cs="Times New Roman"/>
      <w:color w:val="auto"/>
      <w:sz w:val="30"/>
      <w:szCs w:val="30"/>
      <w:lang w:val="ru-RU" w:eastAsia="ru-RU" w:bidi="ar-SA"/>
    </w:rPr>
  </w:style>
  <w:style w:type="paragraph" w:styleId="Heading4">
    <w:name w:val="heading 4"/>
    <w:link w:val="4"/>
    <w:uiPriority w:val="9"/>
    <w:unhideWhenUsed/>
    <w:qFormat/>
    <w:pPr>
      <w:keepNext/>
      <w:keepLines/>
      <w:widowControl/>
      <w:spacing w:before="320" w:after="200"/>
      <w:jc w:val="left"/>
      <w:outlineLvl w:val="3"/>
    </w:pPr>
    <w:rPr>
      <w:rFonts w:ascii="Arial" w:eastAsia="Arial" w:hAnsi="Arial" w:cs="Times New Roman"/>
      <w:b/>
      <w:bCs/>
      <w:color w:val="auto"/>
      <w:sz w:val="26"/>
      <w:szCs w:val="26"/>
      <w:lang w:val="ru-RU" w:eastAsia="ru-RU" w:bidi="ar-SA"/>
    </w:rPr>
  </w:style>
  <w:style w:type="paragraph" w:styleId="Heading5">
    <w:name w:val="heading 5"/>
    <w:link w:val="5"/>
    <w:uiPriority w:val="9"/>
    <w:unhideWhenUsed/>
    <w:qFormat/>
    <w:pPr>
      <w:keepNext/>
      <w:keepLines/>
      <w:widowControl/>
      <w:spacing w:before="320" w:after="200"/>
      <w:jc w:val="left"/>
      <w:outlineLvl w:val="4"/>
    </w:pPr>
    <w:rPr>
      <w:rFonts w:ascii="Arial" w:eastAsia="Arial" w:hAnsi="Arial" w:cs="Times New Roman"/>
      <w:b/>
      <w:bCs/>
      <w:color w:val="auto"/>
      <w:sz w:val="24"/>
      <w:szCs w:val="24"/>
      <w:lang w:val="ru-RU" w:eastAsia="ru-RU" w:bidi="ar-SA"/>
    </w:rPr>
  </w:style>
  <w:style w:type="paragraph" w:styleId="Heading6">
    <w:name w:val="heading 6"/>
    <w:link w:val="6"/>
    <w:uiPriority w:val="9"/>
    <w:unhideWhenUsed/>
    <w:qFormat/>
    <w:pPr>
      <w:keepNext/>
      <w:keepLines/>
      <w:widowControl/>
      <w:spacing w:before="320" w:after="200"/>
      <w:jc w:val="left"/>
      <w:outlineLvl w:val="5"/>
    </w:pPr>
    <w:rPr>
      <w:rFonts w:ascii="Arial" w:eastAsia="Arial" w:hAnsi="Arial" w:cs="Times New Roman"/>
      <w:b/>
      <w:bCs/>
      <w:color w:val="auto"/>
      <w:sz w:val="22"/>
      <w:szCs w:val="22"/>
      <w:lang w:val="ru-RU" w:eastAsia="ru-RU" w:bidi="ar-SA"/>
    </w:rPr>
  </w:style>
  <w:style w:type="paragraph" w:styleId="Heading7">
    <w:name w:val="heading 7"/>
    <w:link w:val="7"/>
    <w:uiPriority w:val="9"/>
    <w:unhideWhenUsed/>
    <w:qFormat/>
    <w:pPr>
      <w:keepNext/>
      <w:keepLines/>
      <w:widowControl/>
      <w:spacing w:before="320" w:after="200"/>
      <w:jc w:val="left"/>
      <w:outlineLvl w:val="6"/>
    </w:pPr>
    <w:rPr>
      <w:rFonts w:ascii="Arial" w:eastAsia="Arial" w:hAnsi="Arial" w:cs="Times New Roman"/>
      <w:b/>
      <w:bCs/>
      <w:i/>
      <w:iCs/>
      <w:color w:val="auto"/>
      <w:sz w:val="22"/>
      <w:szCs w:val="22"/>
      <w:lang w:val="ru-RU" w:eastAsia="ru-RU" w:bidi="ar-SA"/>
    </w:rPr>
  </w:style>
  <w:style w:type="paragraph" w:styleId="Heading8">
    <w:name w:val="heading 8"/>
    <w:link w:val="8"/>
    <w:uiPriority w:val="9"/>
    <w:unhideWhenUsed/>
    <w:qFormat/>
    <w:pPr>
      <w:keepNext/>
      <w:keepLines/>
      <w:widowControl/>
      <w:spacing w:before="320" w:after="200"/>
      <w:jc w:val="left"/>
      <w:outlineLvl w:val="7"/>
    </w:pPr>
    <w:rPr>
      <w:rFonts w:ascii="Arial" w:eastAsia="Arial" w:hAnsi="Arial" w:cs="Times New Roman"/>
      <w:i/>
      <w:iCs/>
      <w:color w:val="auto"/>
      <w:sz w:val="22"/>
      <w:szCs w:val="22"/>
      <w:lang w:val="ru-RU" w:eastAsia="ru-RU" w:bidi="ar-SA"/>
    </w:rPr>
  </w:style>
  <w:style w:type="paragraph" w:styleId="Heading9">
    <w:name w:val="heading 9"/>
    <w:link w:val="9"/>
    <w:uiPriority w:val="9"/>
    <w:unhideWhenUsed/>
    <w:qFormat/>
    <w:pPr>
      <w:keepNext/>
      <w:keepLines/>
      <w:widowControl/>
      <w:spacing w:before="320" w:after="200"/>
      <w:jc w:val="left"/>
      <w:outlineLvl w:val="8"/>
    </w:pPr>
    <w:rPr>
      <w:rFonts w:ascii="Arial" w:eastAsia="Arial" w:hAnsi="Arial" w:cs="Times New Roman"/>
      <w:i/>
      <w:iCs/>
      <w:color w:val="auto"/>
      <w:sz w:val="21"/>
      <w:szCs w:val="21"/>
      <w:lang w:val="ru-RU" w:eastAsia="ru-RU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DefaultParagraphFont"/>
    <w:uiPriority w:val="99"/>
    <w:qFormat/>
  </w:style>
  <w:style w:type="character" w:customStyle="1" w:styleId="FooterChar">
    <w:name w:val="Footer Char"/>
    <w:basedOn w:val="DefaultParagraphFont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">
    <w:name w:val="Текст концевой сноски Знак"/>
    <w:uiPriority w:val="99"/>
    <w:qFormat/>
    <w:rPr>
      <w:sz w:val="20"/>
    </w:rPr>
  </w:style>
  <w:style w:type="character" w:customStyle="1" w:styleId="a0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customStyle="1" w:styleId="1">
    <w:name w:val="Заголовок 1 Знак"/>
    <w:uiPriority w:val="9"/>
    <w:qFormat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uiPriority w:val="9"/>
    <w:qFormat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uiPriority w:val="9"/>
    <w:qFormat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uiPriority w:val="9"/>
    <w:qFormat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uiPriority w:val="9"/>
    <w:qFormat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uiPriority w:val="9"/>
    <w:qFormat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uiPriority w:val="9"/>
    <w:qFormat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uiPriority w:val="9"/>
    <w:qFormat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uiPriority w:val="9"/>
    <w:qFormat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a1">
    <w:name w:val="Название Знак"/>
    <w:uiPriority w:val="10"/>
    <w:qFormat/>
    <w:rPr>
      <w:sz w:val="48"/>
      <w:szCs w:val="48"/>
      <w:lang w:bidi="ar-SA"/>
    </w:rPr>
  </w:style>
  <w:style w:type="character" w:customStyle="1" w:styleId="a2">
    <w:name w:val="Подзаголовок Знак"/>
    <w:uiPriority w:val="11"/>
    <w:qFormat/>
    <w:rPr>
      <w:sz w:val="24"/>
      <w:szCs w:val="24"/>
      <w:lang w:bidi="ar-SA"/>
    </w:rPr>
  </w:style>
  <w:style w:type="character" w:customStyle="1" w:styleId="20">
    <w:name w:val="Цитата 2 Знак"/>
    <w:link w:val="Quote"/>
    <w:uiPriority w:val="29"/>
    <w:qFormat/>
    <w:rPr>
      <w:i/>
      <w:lang w:val="ru-RU" w:eastAsia="ru-RU" w:bidi="ar-SA"/>
    </w:rPr>
  </w:style>
  <w:style w:type="character" w:customStyle="1" w:styleId="a3">
    <w:name w:val="Выделенная цитата Знак"/>
    <w:link w:val="IntenseQuote"/>
    <w:uiPriority w:val="30"/>
    <w:qFormat/>
    <w:rPr>
      <w:i/>
      <w:shd w:val="clear" w:color="auto" w:fill="F2F2F2"/>
      <w:lang w:val="ru-RU" w:eastAsia="ru-RU" w:bidi="ar-SA"/>
    </w:rPr>
  </w:style>
  <w:style w:type="character" w:customStyle="1" w:styleId="a4">
    <w:name w:val="Верхний колонтитул Знак"/>
    <w:uiPriority w:val="99"/>
    <w:qFormat/>
  </w:style>
  <w:style w:type="character" w:customStyle="1" w:styleId="a5">
    <w:name w:val="Нижний колонтитул Знак"/>
    <w:uiPriority w:val="99"/>
    <w:qFormat/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customStyle="1" w:styleId="a6">
    <w:name w:val="Текст сноски Знак"/>
    <w:uiPriority w:val="99"/>
    <w:semiHidden/>
    <w:qFormat/>
    <w:rPr>
      <w:sz w:val="18"/>
      <w:lang w:bidi="ar-SA"/>
    </w:rPr>
  </w:style>
  <w:style w:type="character" w:customStyle="1" w:styleId="a7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</w:style>
  <w:style w:type="character" w:customStyle="1" w:styleId="a8">
    <w:name w:val="Текст выноски Знак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9">
    <w:name w:val="Основной текст с отступом Знак"/>
    <w:uiPriority w:val="99"/>
    <w:semiHidden/>
    <w:qFormat/>
    <w:rPr>
      <w:sz w:val="22"/>
      <w:szCs w:val="22"/>
      <w:lang w:eastAsia="en-US" w:bidi="en-US"/>
    </w:rPr>
  </w:style>
  <w:style w:type="paragraph" w:customStyle="1" w:styleId="a10">
    <w:name w:val="Заголовок"/>
    <w:basedOn w:val="Normal"/>
    <w:next w:val="BodyText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paragraph" w:styleId="List">
    <w:name w:val="List"/>
    <w:basedOn w:val="BodyText"/>
    <w:rPr>
      <w:rFonts w:ascii="PT Astra Serif" w:hAnsi="PT Astra Serif" w:cs="FreeSans"/>
    </w:rPr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11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ListParagraph">
    <w:name w:val="List Paragraph"/>
    <w:qFormat/>
    <w:pPr>
      <w:widowControl/>
      <w:spacing w:before="0" w:after="200" w:line="276" w:lineRule="auto"/>
      <w:ind w:left="720"/>
      <w:contextualSpacing/>
      <w:jc w:val="left"/>
    </w:pPr>
    <w:rPr>
      <w:rFonts w:ascii="Calibri" w:eastAsia="Calibri" w:hAnsi="Calibri" w:cs="Times New Roman"/>
      <w:color w:val="auto"/>
      <w:sz w:val="22"/>
      <w:szCs w:val="22"/>
      <w:lang w:val="ru-RU" w:eastAsia="en-US" w:bidi="ar-SA"/>
    </w:rPr>
  </w:style>
  <w:style w:type="paragraph" w:styleId="NoSpacing">
    <w:name w:val="No Spacing"/>
    <w:uiPriority w:val="1"/>
    <w:qFormat/>
    <w:pPr>
      <w:widowControl/>
      <w:spacing w:before="0" w:after="0"/>
      <w:jc w:val="lef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en-US"/>
    </w:rPr>
  </w:style>
  <w:style w:type="paragraph" w:styleId="Title">
    <w:name w:val="Title"/>
    <w:link w:val="a1"/>
    <w:uiPriority w:val="10"/>
    <w:qFormat/>
    <w:pPr>
      <w:widowControl/>
      <w:spacing w:before="300" w:after="200"/>
      <w:contextualSpacing/>
      <w:jc w:val="left"/>
    </w:pPr>
    <w:rPr>
      <w:rFonts w:ascii="Times New Roman" w:eastAsia="Times New Roman" w:hAnsi="Times New Roman" w:cs="Times New Roman"/>
      <w:color w:val="auto"/>
      <w:sz w:val="48"/>
      <w:szCs w:val="48"/>
      <w:lang w:val="ru-RU" w:eastAsia="ru-RU" w:bidi="ar-SA"/>
    </w:rPr>
  </w:style>
  <w:style w:type="paragraph" w:styleId="Subtitle">
    <w:name w:val="Subtitle"/>
    <w:link w:val="a2"/>
    <w:uiPriority w:val="11"/>
    <w:qFormat/>
    <w:pPr>
      <w:widowControl/>
      <w:spacing w:before="200" w:after="20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paragraph" w:styleId="Quote">
    <w:name w:val="Quote"/>
    <w:link w:val="20"/>
    <w:uiPriority w:val="29"/>
    <w:qFormat/>
    <w:pPr>
      <w:widowControl/>
      <w:spacing w:before="0" w:after="0"/>
      <w:ind w:left="720" w:right="720"/>
      <w:jc w:val="left"/>
    </w:pPr>
    <w:rPr>
      <w:rFonts w:ascii="Times New Roman" w:eastAsia="Times New Roman" w:hAnsi="Times New Roman" w:cs="Times New Roman"/>
      <w:i/>
      <w:color w:val="auto"/>
      <w:sz w:val="20"/>
      <w:szCs w:val="20"/>
      <w:lang w:val="ru-RU" w:eastAsia="ru-RU" w:bidi="ar-SA"/>
    </w:rPr>
  </w:style>
  <w:style w:type="paragraph" w:styleId="IntenseQuote">
    <w:name w:val="Intense Quote"/>
    <w:link w:val="a3"/>
    <w:uiPriority w:val="30"/>
    <w:qFormat/>
    <w:pPr>
      <w:widowControl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0"/>
      <w:ind w:left="720" w:right="720"/>
      <w:jc w:val="left"/>
    </w:pPr>
    <w:rPr>
      <w:rFonts w:ascii="Times New Roman" w:eastAsia="Times New Roman" w:hAnsi="Times New Roman" w:cs="Times New Roman"/>
      <w:i/>
      <w:color w:val="auto"/>
      <w:sz w:val="20"/>
      <w:szCs w:val="20"/>
      <w:lang w:val="ru-RU" w:eastAsia="ru-RU" w:bidi="ar-SA"/>
    </w:rPr>
  </w:style>
  <w:style w:type="paragraph" w:customStyle="1" w:styleId="a12">
    <w:name w:val="Колонтитулы"/>
    <w:basedOn w:val="Normal"/>
    <w:qFormat/>
  </w:style>
  <w:style w:type="paragraph" w:styleId="Header">
    <w:name w:val="header"/>
    <w:link w:val="a4"/>
    <w:pPr>
      <w:widowControl/>
      <w:tabs>
        <w:tab w:val="clear" w:pos="708"/>
        <w:tab w:val="center" w:pos="4153"/>
        <w:tab w:val="right" w:pos="8306"/>
      </w:tabs>
      <w:spacing w:before="120" w:after="240"/>
      <w:jc w:val="center"/>
    </w:pPr>
    <w:rPr>
      <w:rFonts w:ascii="Times New Roman" w:eastAsia="Times New Roman" w:hAnsi="Times New Roman" w:cs="Times New Roman"/>
      <w:b/>
      <w:caps/>
      <w:color w:val="auto"/>
      <w:sz w:val="28"/>
      <w:szCs w:val="22"/>
      <w:lang w:val="ru-RU" w:eastAsia="en-US" w:bidi="en-US"/>
    </w:rPr>
  </w:style>
  <w:style w:type="paragraph" w:styleId="Footer">
    <w:name w:val="footer"/>
    <w:basedOn w:val="Normal"/>
    <w:link w:val="a5"/>
    <w:uiPriority w:val="99"/>
    <w:pPr>
      <w:tabs>
        <w:tab w:val="clear" w:pos="708"/>
        <w:tab w:val="center" w:pos="4153"/>
        <w:tab w:val="right" w:pos="8306"/>
      </w:tabs>
    </w:pPr>
  </w:style>
  <w:style w:type="paragraph" w:styleId="FootnoteText">
    <w:name w:val="footnote text"/>
    <w:link w:val="a6"/>
    <w:uiPriority w:val="99"/>
    <w:semiHidden/>
    <w:unhideWhenUsed/>
    <w:pPr>
      <w:widowControl/>
      <w:spacing w:before="0" w:after="40"/>
      <w:jc w:val="left"/>
    </w:pPr>
    <w:rPr>
      <w:rFonts w:ascii="Times New Roman" w:eastAsia="Times New Roman" w:hAnsi="Times New Roman" w:cs="Times New Roman"/>
      <w:color w:val="auto"/>
      <w:sz w:val="18"/>
      <w:szCs w:val="20"/>
      <w:lang w:val="ru-RU" w:eastAsia="ru-RU" w:bidi="ar-SA"/>
    </w:rPr>
  </w:style>
  <w:style w:type="paragraph" w:styleId="TOC1">
    <w:name w:val="toc 1"/>
    <w:uiPriority w:val="39"/>
    <w:unhideWhenUsed/>
    <w:pPr>
      <w:widowControl/>
      <w:spacing w:before="0" w:after="57"/>
      <w:jc w:val="lef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en-US"/>
    </w:rPr>
  </w:style>
  <w:style w:type="paragraph" w:styleId="TOC2">
    <w:name w:val="toc 2"/>
    <w:uiPriority w:val="39"/>
    <w:unhideWhenUsed/>
    <w:pPr>
      <w:widowControl/>
      <w:spacing w:before="0" w:after="57"/>
      <w:ind w:left="283"/>
      <w:jc w:val="lef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en-US"/>
    </w:rPr>
  </w:style>
  <w:style w:type="paragraph" w:styleId="TOC3">
    <w:name w:val="toc 3"/>
    <w:uiPriority w:val="39"/>
    <w:unhideWhenUsed/>
    <w:pPr>
      <w:widowControl/>
      <w:spacing w:before="0" w:after="57"/>
      <w:ind w:left="567"/>
      <w:jc w:val="lef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en-US"/>
    </w:rPr>
  </w:style>
  <w:style w:type="paragraph" w:styleId="TOC4">
    <w:name w:val="toc 4"/>
    <w:uiPriority w:val="39"/>
    <w:unhideWhenUsed/>
    <w:pPr>
      <w:widowControl/>
      <w:spacing w:before="0" w:after="57"/>
      <w:ind w:left="850"/>
      <w:jc w:val="lef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en-US"/>
    </w:rPr>
  </w:style>
  <w:style w:type="paragraph" w:styleId="TOC5">
    <w:name w:val="toc 5"/>
    <w:uiPriority w:val="39"/>
    <w:unhideWhenUsed/>
    <w:pPr>
      <w:widowControl/>
      <w:spacing w:before="0" w:after="57"/>
      <w:ind w:left="1134"/>
      <w:jc w:val="lef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en-US"/>
    </w:rPr>
  </w:style>
  <w:style w:type="paragraph" w:styleId="TOC6">
    <w:name w:val="toc 6"/>
    <w:uiPriority w:val="39"/>
    <w:unhideWhenUsed/>
    <w:pPr>
      <w:widowControl/>
      <w:spacing w:before="0" w:after="57"/>
      <w:ind w:left="1417"/>
      <w:jc w:val="lef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en-US"/>
    </w:rPr>
  </w:style>
  <w:style w:type="paragraph" w:styleId="TOC7">
    <w:name w:val="toc 7"/>
    <w:uiPriority w:val="39"/>
    <w:unhideWhenUsed/>
    <w:pPr>
      <w:widowControl/>
      <w:spacing w:before="0" w:after="57"/>
      <w:ind w:left="1701"/>
      <w:jc w:val="lef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en-US"/>
    </w:rPr>
  </w:style>
  <w:style w:type="paragraph" w:styleId="TOC8">
    <w:name w:val="toc 8"/>
    <w:uiPriority w:val="39"/>
    <w:unhideWhenUsed/>
    <w:pPr>
      <w:widowControl/>
      <w:spacing w:before="0" w:after="57"/>
      <w:ind w:left="1984"/>
      <w:jc w:val="lef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en-US"/>
    </w:rPr>
  </w:style>
  <w:style w:type="paragraph" w:styleId="TOC9">
    <w:name w:val="toc 9"/>
    <w:uiPriority w:val="39"/>
    <w:unhideWhenUsed/>
    <w:pPr>
      <w:widowControl/>
      <w:spacing w:before="0" w:after="57"/>
      <w:ind w:left="2268"/>
      <w:jc w:val="lef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en-US"/>
    </w:rPr>
  </w:style>
  <w:style w:type="paragraph" w:styleId="IndexHeading">
    <w:name w:val="index heading"/>
    <w:basedOn w:val="a10"/>
  </w:style>
  <w:style w:type="paragraph" w:styleId="TOCHeading">
    <w:name w:val="TOC Heading"/>
    <w:uiPriority w:val="39"/>
    <w:unhideWhenUsed/>
    <w:qFormat/>
    <w:pPr>
      <w:widowControl/>
      <w:spacing w:before="0" w:after="0"/>
      <w:jc w:val="lef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en-US"/>
    </w:rPr>
  </w:style>
  <w:style w:type="paragraph" w:styleId="BodyText2">
    <w:name w:val="Body Text 2"/>
    <w:basedOn w:val="Normal"/>
    <w:qFormat/>
    <w:pPr>
      <w:spacing w:before="120" w:after="0"/>
      <w:ind w:right="5102"/>
      <w:jc w:val="center"/>
    </w:pPr>
  </w:style>
  <w:style w:type="paragraph" w:customStyle="1" w:styleId="a13">
    <w:name w:val="Обращение"/>
    <w:basedOn w:val="Normal"/>
    <w:next w:val="Normal"/>
    <w:qFormat/>
    <w:pPr>
      <w:spacing w:before="240" w:after="120"/>
      <w:jc w:val="center"/>
    </w:pPr>
    <w:rPr>
      <w:b/>
    </w:rPr>
  </w:style>
  <w:style w:type="paragraph" w:customStyle="1" w:styleId="a14">
    <w:name w:val="Адресные реквизиты"/>
    <w:basedOn w:val="BodyText"/>
    <w:next w:val="BodyText"/>
    <w:qFormat/>
    <w:pPr>
      <w:jc w:val="left"/>
    </w:pPr>
    <w:rPr>
      <w:sz w:val="16"/>
    </w:rPr>
  </w:style>
  <w:style w:type="paragraph" w:customStyle="1" w:styleId="a15">
    <w:name w:val="Адресат"/>
    <w:basedOn w:val="Normal"/>
    <w:qFormat/>
    <w:pPr>
      <w:spacing w:before="120" w:after="0"/>
    </w:pPr>
    <w:rPr>
      <w:b/>
    </w:rPr>
  </w:style>
  <w:style w:type="paragraph" w:styleId="BodyText3">
    <w:name w:val="Body Text 3"/>
    <w:basedOn w:val="Normal"/>
    <w:qFormat/>
    <w:pPr>
      <w:tabs>
        <w:tab w:val="clear" w:pos="708"/>
        <w:tab w:val="left" w:pos="7371"/>
      </w:tabs>
      <w:spacing w:before="120" w:after="0"/>
    </w:pPr>
    <w:rPr>
      <w:sz w:val="28"/>
    </w:rPr>
  </w:style>
  <w:style w:type="paragraph" w:styleId="BalloonText">
    <w:name w:val="Balloon Text"/>
    <w:basedOn w:val="Normal"/>
    <w:link w:val="a8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pPr>
      <w:widowControl w:val="0"/>
      <w:spacing w:before="0" w:after="0"/>
      <w:jc w:val="left"/>
    </w:pPr>
    <w:rPr>
      <w:rFonts w:ascii="Calibri" w:eastAsia="Times New Roman" w:hAnsi="Calibri" w:cs="Calibri"/>
      <w:color w:val="auto"/>
      <w:sz w:val="22"/>
      <w:szCs w:val="20"/>
      <w:lang w:val="ru-RU" w:eastAsia="ru-RU" w:bidi="ar-SA"/>
    </w:rPr>
  </w:style>
  <w:style w:type="paragraph" w:styleId="BodyTextIndent">
    <w:name w:val="Body Text Indent"/>
    <w:basedOn w:val="Normal"/>
    <w:link w:val="a9"/>
    <w:uiPriority w:val="99"/>
    <w:semiHidden/>
    <w:unhideWhenUsed/>
    <w:pPr>
      <w:spacing w:before="0" w:after="120"/>
      <w:ind w:left="283"/>
    </w:pPr>
  </w:style>
  <w:style w:type="paragraph" w:customStyle="1" w:styleId="ConsPlusTitle">
    <w:name w:val="ConsPlusTitle"/>
    <w:qFormat/>
    <w:pPr>
      <w:widowControl w:val="0"/>
      <w:spacing w:before="0" w:after="0"/>
      <w:jc w:val="left"/>
    </w:pPr>
    <w:rPr>
      <w:rFonts w:ascii="Arial" w:eastAsia="Times New Roman" w:hAnsi="Arial" w:cs="Times New Roman"/>
      <w:b/>
      <w:bCs/>
      <w:color w:val="auto"/>
      <w:sz w:val="20"/>
      <w:szCs w:val="20"/>
      <w:lang w:val="ru-RU" w:eastAsia="ru-RU" w:bidi="ar-SA"/>
    </w:rPr>
  </w:style>
  <w:style w:type="numbering" w:customStyle="1" w:styleId="a16">
    <w:name w:val="Без списка"/>
    <w:uiPriority w:val="99"/>
    <w:semiHidden/>
    <w:unhideWhenUsed/>
    <w:qFormat/>
  </w:style>
  <w:style w:type="table" w:styleId="TableGrid">
    <w:name w:val="Table Grid"/>
    <w:uiPriority w:val="59"/>
    <w:rPr>
      <w:sz w:val="22"/>
      <w:szCs w:val="22"/>
      <w:lang w:eastAsia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 w:val="22"/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sz w:val="22"/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rPr>
      <w:sz w:val="22"/>
      <w:szCs w:val="22"/>
      <w:lang w:eastAsia="en-US" w:bidi="en-US"/>
    </w:rPr>
    <w:tblPr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 w:val="22"/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consultantplus://offline/ref=705B2DBEB6E85213A01435029C6BFCB1A0F3F9BED1BABDFB4D16B8D2FD776DFDC5D4E4F19D8D8C0DzEnBM" TargetMode="External" /><Relationship Id="rId11" Type="http://schemas.openxmlformats.org/officeDocument/2006/relationships/hyperlink" Target="https://www.google.ru/search?newwindow=1&amp;biw=1920&amp;bih=907&amp;q=&#1087;&#1088;&#1080;&#1086;&#1073;&#1088;&#1077;&#1090;&#1077;&#1085;&#1080;&#1077;+&#1076;&#1077;&#1079;&#1080;&#1085;&#1092;&#1077;&#1082;&#1094;&#1080;&#1086;&#1085;&#1085;&#1099;&#1093;+&#1089;&#1088;&#1077;&#1076;&#1089;&#1090;&#1074;&amp;spell=1&amp;sa=X&amp;ved=0ahUKEwi909bjhLbLAhUFLZoKHT-HBzIQvwUIGCgA" TargetMode="External" /><Relationship Id="rId12" Type="http://schemas.openxmlformats.org/officeDocument/2006/relationships/image" Target="media/image3.wmf" /><Relationship Id="rId13" Type="http://schemas.openxmlformats.org/officeDocument/2006/relationships/image" Target="media/image4.wmf" /><Relationship Id="rId14" Type="http://schemas.openxmlformats.org/officeDocument/2006/relationships/image" Target="media/image5.wmf" /><Relationship Id="rId15" Type="http://schemas.openxmlformats.org/officeDocument/2006/relationships/image" Target="media/image6.wmf" /><Relationship Id="rId16" Type="http://schemas.openxmlformats.org/officeDocument/2006/relationships/image" Target="media/image7.wmf" /><Relationship Id="rId17" Type="http://schemas.openxmlformats.org/officeDocument/2006/relationships/image" Target="media/image8.wmf" /><Relationship Id="rId18" Type="http://schemas.openxmlformats.org/officeDocument/2006/relationships/image" Target="media/image9.wmf" /><Relationship Id="rId19" Type="http://schemas.openxmlformats.org/officeDocument/2006/relationships/image" Target="media/image10.wmf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1" Type="http://schemas.openxmlformats.org/officeDocument/2006/relationships/image" Target="media/image12.wmf" /><Relationship Id="rId22" Type="http://schemas.openxmlformats.org/officeDocument/2006/relationships/image" Target="media/image13.wmf" /><Relationship Id="rId23" Type="http://schemas.openxmlformats.org/officeDocument/2006/relationships/image" Target="media/image14.wmf" /><Relationship Id="rId24" Type="http://schemas.openxmlformats.org/officeDocument/2006/relationships/image" Target="media/image15.wmf" /><Relationship Id="rId25" Type="http://schemas.openxmlformats.org/officeDocument/2006/relationships/image" Target="media/image16.wmf" /><Relationship Id="rId26" Type="http://schemas.openxmlformats.org/officeDocument/2006/relationships/image" Target="media/image17.wmf" /><Relationship Id="rId27" Type="http://schemas.openxmlformats.org/officeDocument/2006/relationships/image" Target="media/image18.wmf" /><Relationship Id="rId28" Type="http://schemas.openxmlformats.org/officeDocument/2006/relationships/image" Target="media/image19.wmf" /><Relationship Id="rId29" Type="http://schemas.openxmlformats.org/officeDocument/2006/relationships/image" Target="media/image20.wmf" /><Relationship Id="rId3" Type="http://schemas.openxmlformats.org/officeDocument/2006/relationships/fontTable" Target="fontTable.xml" /><Relationship Id="rId30" Type="http://schemas.openxmlformats.org/officeDocument/2006/relationships/image" Target="media/image21.wmf" /><Relationship Id="rId31" Type="http://schemas.openxmlformats.org/officeDocument/2006/relationships/image" Target="media/image22.wmf" /><Relationship Id="rId32" Type="http://schemas.openxmlformats.org/officeDocument/2006/relationships/image" Target="media/image23.wmf" /><Relationship Id="rId33" Type="http://schemas.openxmlformats.org/officeDocument/2006/relationships/image" Target="media/image24.wmf" /><Relationship Id="rId34" Type="http://schemas.openxmlformats.org/officeDocument/2006/relationships/image" Target="media/image25.wmf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header" Target="header1.xml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hyperlink" Target="consultantplus://offline/ref=8A65FFC8AA2074C91096490A103E3C2602B329403AF8D400961038D28D15DB8BC200F8CE396D74F4XFoCI" TargetMode="External" /><Relationship Id="rId46" Type="http://schemas.openxmlformats.org/officeDocument/2006/relationships/image" Target="media/image36.wmf" /><Relationship Id="rId47" Type="http://schemas.openxmlformats.org/officeDocument/2006/relationships/image" Target="media/image37.wmf" /><Relationship Id="rId48" Type="http://schemas.openxmlformats.org/officeDocument/2006/relationships/image" Target="media/image38.wmf" /><Relationship Id="rId49" Type="http://schemas.openxmlformats.org/officeDocument/2006/relationships/image" Target="media/image39.wmf" /><Relationship Id="rId5" Type="http://schemas.openxmlformats.org/officeDocument/2006/relationships/header" Target="header2.xml" /><Relationship Id="rId50" Type="http://schemas.openxmlformats.org/officeDocument/2006/relationships/image" Target="media/image40.wmf" /><Relationship Id="rId51" Type="http://schemas.openxmlformats.org/officeDocument/2006/relationships/image" Target="media/image41.wmf" /><Relationship Id="rId52" Type="http://schemas.openxmlformats.org/officeDocument/2006/relationships/image" Target="media/image42.wmf" /><Relationship Id="rId53" Type="http://schemas.openxmlformats.org/officeDocument/2006/relationships/image" Target="media/image43.wmf" /><Relationship Id="rId54" Type="http://schemas.openxmlformats.org/officeDocument/2006/relationships/hyperlink" Target="consultantplus://offline/ref=8A65FFC8AA2074C91096490A103E3C2602B324473AF8D400961038D28D15DB8BC200F8CE396D74FCXFo3I" TargetMode="External" /><Relationship Id="rId55" Type="http://schemas.openxmlformats.org/officeDocument/2006/relationships/image" Target="media/image44.wmf" /><Relationship Id="rId56" Type="http://schemas.openxmlformats.org/officeDocument/2006/relationships/header" Target="header4.xml" /><Relationship Id="rId57" Type="http://schemas.openxmlformats.org/officeDocument/2006/relationships/header" Target="header5.xml" /><Relationship Id="rId58" Type="http://schemas.openxmlformats.org/officeDocument/2006/relationships/hyperlink" Target="https://phones.tomsk.gov.ru/phonebook/department?id=280&amp;type=2" TargetMode="External" /><Relationship Id="rId59" Type="http://schemas.openxmlformats.org/officeDocument/2006/relationships/header" Target="header6.xml" /><Relationship Id="rId6" Type="http://schemas.openxmlformats.org/officeDocument/2006/relationships/header" Target="header3.xml" /><Relationship Id="rId60" Type="http://schemas.openxmlformats.org/officeDocument/2006/relationships/header" Target="header7.xml" /><Relationship Id="rId61" Type="http://schemas.openxmlformats.org/officeDocument/2006/relationships/theme" Target="theme/theme1.xml" /><Relationship Id="rId62" Type="http://schemas.openxmlformats.org/officeDocument/2006/relationships/styles" Target="styles.xml" /><Relationship Id="rId7" Type="http://schemas.openxmlformats.org/officeDocument/2006/relationships/hyperlink" Target="https://phones.tomsk.gov.ru/phonebook/department?id=280&amp;type=2" TargetMode="External" /><Relationship Id="rId8" Type="http://schemas.openxmlformats.org/officeDocument/2006/relationships/image" Target="media/image2.wmf" /><Relationship Id="rId9" Type="http://schemas.openxmlformats.org/officeDocument/2006/relationships/hyperlink" Target="consultantplus://offline/ref=705B2DBEB6E85213A01435029C6BFCB1A0F3F9BED1BABDFB4D16B8D2FD776DFDC5D4E4F19D8D8F05zEn9M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/>
        <a:ln w="25400"/>
        <a:ln w="38100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27</cp:revision>
  <dcterms:created xsi:type="dcterms:W3CDTF">2023-02-28T07:43:00Z</dcterms:created>
  <dcterms:modified xsi:type="dcterms:W3CDTF">2026-06-30T08:04:40Z</dcterms:modified>
  <dc:language>ru-RU</dc:language>
</cp:coreProperties>
</file>