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79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07.04.2026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79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bookmarkEnd w:id="0"/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79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172</w:t>
            </w:r>
            <w:r/>
          </w:p>
        </w:tc>
      </w:tr>
    </w:tbl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left="-142" w:firstLine="142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PT Astra Serif"/>
          <w:sz w:val="26"/>
          <w:szCs w:val="26"/>
        </w:rPr>
        <w:t xml:space="preserve">» на территории Томской области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от 04.03.2024 № 65а «О разработке и утверждении </w:t>
      </w:r>
      <w:r>
        <w:rPr>
          <w:rFonts w:ascii="PT Astra Serif" w:hAnsi="PT Astra Serif"/>
          <w:sz w:val="26"/>
          <w:szCs w:val="26"/>
        </w:rPr>
        <w:t xml:space="preserve">админи</w:t>
      </w:r>
      <w:r>
        <w:rPr>
          <w:rFonts w:ascii="PT Astra Serif" w:hAnsi="PT Astra Serif"/>
          <w:sz w:val="26"/>
          <w:szCs w:val="26"/>
        </w:rPr>
        <w:t xml:space="preserve">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Утвердит</w:t>
      </w:r>
      <w:r>
        <w:rPr>
          <w:rFonts w:ascii="PT Astra Serif" w:hAnsi="PT Astra Serif"/>
          <w:sz w:val="26"/>
          <w:szCs w:val="26"/>
        </w:rPr>
        <w:t xml:space="preserve">ь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согласно приложению к настоящему приказу.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09.12.2025 № 899 «</w:t>
      </w:r>
      <w:r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</w:t>
      </w:r>
      <w:bookmarkStart w:id="1" w:name="_Hlk214896706"/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.pravo.gov.ru),</w:t>
      </w:r>
      <w:r>
        <w:rPr>
          <w:rFonts w:ascii="PT Astra Serif" w:hAnsi="PT Astra Serif"/>
          <w:sz w:val="26"/>
          <w:szCs w:val="26"/>
        </w:rPr>
        <w:t xml:space="preserve"> 10.12.2025, № 7001202512100016).</w:t>
      </w:r>
      <w:bookmarkEnd w:id="1"/>
      <w:r/>
    </w:p>
    <w:p>
      <w:pPr>
        <w:pStyle w:val="893"/>
        <w:ind w:firstLine="709"/>
        <w:jc w:val="both"/>
        <w:spacing w:before="0" w:after="0" w:line="240" w:lineRule="auto"/>
        <w:shd w:val="clear" w:color="auto" w:fill="auto"/>
        <w:tabs>
          <w:tab w:val="left" w:pos="993" w:leader="none"/>
        </w:tabs>
        <w:rPr>
          <w:rStyle w:val="891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оставляю за собой.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567" w:bottom="1134" w:left="1134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/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07.04.2026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172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</w:p>
    <w:p>
      <w:pPr>
        <w:pStyle w:val="87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widowControl w:val="off"/>
        <w:rPr>
          <w:rFonts w:ascii="PT Astra Serif" w:hAnsi="PT Astra Serif"/>
          <w:sz w:val="26"/>
          <w:szCs w:val="26"/>
        </w:rPr>
        <w:outlineLvl w:val="1"/>
      </w:pPr>
      <w:r/>
      <w:bookmarkStart w:id="2" w:name="Par59"/>
      <w:r/>
      <w:bookmarkEnd w:id="2"/>
      <w:r>
        <w:rPr>
          <w:rFonts w:ascii="PT Astra Serif" w:hAnsi="PT Astra Serif"/>
          <w:sz w:val="26"/>
          <w:szCs w:val="26"/>
        </w:rPr>
        <w:t xml:space="preserve">1. Общие положения </w:t>
      </w:r>
      <w:r/>
    </w:p>
    <w:p>
      <w:pPr>
        <w:ind w:firstLine="709"/>
        <w:jc w:val="center"/>
        <w:widowControl w:val="off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Настоящий Административн</w:t>
      </w:r>
      <w:r>
        <w:rPr>
          <w:rFonts w:ascii="PT Astra Serif" w:hAnsi="PT Astra Serif"/>
          <w:sz w:val="26"/>
          <w:szCs w:val="26"/>
        </w:rPr>
        <w:t xml:space="preserve">ый регламент устанавливает стандарт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 (далее - государственная услуга).</w:t>
      </w:r>
      <w:r/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2" w:tooltip="consultantplus://offline/ref=CEE453A2CB28F7102C0462E5185FF46E9F877D88D042658249AB3A62BC4A9C31A65286EAB958231AfB29B" w:history="1">
        <w:r>
          <w:rPr>
            <w:rFonts w:ascii="PT Astra Serif" w:hAnsi="PT Astra Serif" w:cs="Times New Roman"/>
            <w:sz w:val="26"/>
            <w:szCs w:val="26"/>
          </w:rPr>
          <w:t xml:space="preserve">частью 1 статьи 13</w:t>
        </w:r>
      </w:hyperlink>
      <w:r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3" w:tooltip="consultantplus://offline/ref=CEE453A2CB28F7102C0462F31B33AA6A9C8C2280D24A68D21CF93C35E31A9A64E61280BFFA1C2F1BBB4AE467f42CB" w:history="1">
        <w:r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r/>
      <w:hyperlink r:id="rId14" w:tooltip="consultantplus://offline/ref=CEE453A2CB28F7102C0462F31B33AA6A9C8C2280D24A68D21CF93C35E31A9A64E61280BFFA1C2F1BBB4AE466f421B" w:history="1">
        <w:r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>
        <w:rPr>
          <w:rFonts w:ascii="PT Astra Serif" w:hAnsi="PT Astra Serif" w:cs="Times New Roman"/>
          <w:sz w:val="26"/>
          <w:szCs w:val="26"/>
        </w:rPr>
        <w:t xml:space="preserve">) пункта 10 Положения о Департаменте лицензиро</w:t>
      </w:r>
      <w:r>
        <w:rPr>
          <w:rFonts w:ascii="PT Astra Serif" w:hAnsi="PT Astra Serif" w:cs="Times New Roman"/>
          <w:sz w:val="26"/>
          <w:szCs w:val="26"/>
        </w:rPr>
        <w:t xml:space="preserve">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bCs/>
          <w:sz w:val="26"/>
          <w:szCs w:val="26"/>
        </w:rPr>
        <w:t xml:space="preserve">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лицензии являются</w:t>
      </w:r>
      <w:r>
        <w:rPr>
          <w:rFonts w:ascii="PT Astra Serif" w:hAnsi="PT Astra Serif"/>
          <w:sz w:val="26"/>
          <w:szCs w:val="26"/>
        </w:rPr>
        <w:t xml:space="preserve"> 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Заявителями на предоставление </w:t>
      </w:r>
      <w:r>
        <w:rPr>
          <w:rFonts w:ascii="PT Astra Serif" w:hAnsi="PT Astra Serif"/>
          <w:bCs/>
          <w:sz w:val="26"/>
          <w:szCs w:val="26"/>
        </w:rPr>
        <w:t xml:space="preserve">государственной услуги в части предоставления сведений о конкретной лицензии из реестра лицензий являются физические лица, индивидуальные предприниматели, юридические лица, обратившиеся за предоставлением сведений о конкретной лицензии из реестра лицензий.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 заявлением вправе обратиться представитель заявителя, действующий в силу полномочий, основанны</w:t>
      </w:r>
      <w:r>
        <w:rPr>
          <w:rFonts w:ascii="PT Astra Serif" w:hAnsi="PT Astra Serif"/>
          <w:sz w:val="26"/>
          <w:szCs w:val="26"/>
        </w:rPr>
        <w:t xml:space="preserve">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Информацию по вопросам предоставления государственной услуги можно получить: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на официальном сайте Департамента: </w:t>
      </w:r>
      <w:r>
        <w:rPr>
          <w:rFonts w:ascii="PT Astra Serif" w:hAnsi="PT Astra Serif"/>
          <w:sz w:val="26"/>
          <w:szCs w:val="26"/>
        </w:rPr>
        <w:t xml:space="preserve">https://</w:t>
      </w:r>
      <w:r>
        <w:rPr>
          <w:rFonts w:ascii="PT Astra Serif" w:hAnsi="PT Astra Serif"/>
          <w:sz w:val="26"/>
          <w:szCs w:val="26"/>
          <w:lang w:val="en-US"/>
        </w:rPr>
        <w:t xml:space="preserve">d</w:t>
      </w:r>
      <w:r>
        <w:rPr>
          <w:rFonts w:ascii="PT Astra Serif" w:hAnsi="PT Astra Serif"/>
          <w:sz w:val="26"/>
          <w:szCs w:val="26"/>
        </w:rPr>
        <w:t xml:space="preserve">lk.tomsk.gov.ru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5" w:tooltip="mailto:info@palata.tomsk.ru" w:history="1">
        <w:r>
          <w:rPr>
            <w:rStyle w:val="862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 xml:space="preserve">info</w:t>
        </w:r>
        <w:r>
          <w:rPr>
            <w:rStyle w:val="862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 xml:space="preserve">@palata.tomsk.ru</w:t>
        </w:r>
      </w:hyperlink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contextualSpacing/>
        <w:ind w:firstLine="709"/>
        <w:jc w:val="both"/>
        <w:tabs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6" w:tooltip="http://www.gosuslugi.ru" w:history="1">
        <w:r>
          <w:rPr>
            <w:rFonts w:ascii="PT Astra Serif" w:hAnsi="PT Astra Serif"/>
            <w:sz w:val="26"/>
            <w:szCs w:val="26"/>
          </w:rPr>
          <w:t xml:space="preserve">http://www.gosuslugi.ru</w:t>
        </w:r>
      </w:hyperlink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firstLine="709"/>
        <w:jc w:val="both"/>
        <w:tabs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sz w:val="26"/>
          <w:szCs w:val="26"/>
        </w:rPr>
        <w:t xml:space="preserve">– Комитет лицензионно-разрешительной деятельности Департамента;</w:t>
      </w:r>
      <w:r/>
    </w:p>
    <w:p>
      <w:pPr>
        <w:ind w:firstLine="709"/>
        <w:jc w:val="both"/>
        <w:tabs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обращении в областное государственное казенное учреждение «Томский областной многофункцион</w:t>
      </w:r>
      <w:r>
        <w:rPr>
          <w:rFonts w:ascii="PT Astra Serif" w:hAnsi="PT Astra Serif"/>
          <w:sz w:val="26"/>
          <w:szCs w:val="26"/>
        </w:rPr>
        <w:t xml:space="preserve">альный центр по предоставлению государственных и муниципальных услуг» (далее - МФЦ) (в случае заключения соглашения о взаимодействии. Информация о наличии соглашения о взаимодействии между Департаментом и МФЦ размещается на официальном сайте Департамента).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информация о порядке предоставления государственной услуги;</w:t>
      </w:r>
      <w:r/>
    </w:p>
    <w:p>
      <w:pPr>
        <w:pStyle w:val="722"/>
        <w:ind w:left="0" w:firstLine="709"/>
        <w:jc w:val="both"/>
        <w:spacing w:after="0" w:line="240" w:lineRule="auto"/>
        <w:widowControl w:val="off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месторасположение, график работы, номера телефонов и адрес электронной почты Департамента;</w:t>
      </w:r>
      <w:r/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обжалования решений и действий (бездействия) Департамента, а также должностных лиц Департамента, государственных служащих Департамента, МФЦ</w:t>
      </w:r>
      <w:r>
        <w:rPr>
          <w:rFonts w:ascii="PT Astra Serif" w:hAnsi="PT Astra Serif" w:cs="Times New Roman"/>
          <w:sz w:val="26"/>
          <w:szCs w:val="26"/>
        </w:rPr>
        <w:t xml:space="preserve">, работников МФЦ.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Письменное</w:t>
      </w:r>
      <w:r>
        <w:rPr>
          <w:rFonts w:ascii="PT Astra Serif" w:hAnsi="PT Astra Serif"/>
          <w:sz w:val="26"/>
          <w:szCs w:val="26"/>
        </w:rPr>
        <w:t xml:space="preserve">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регистрации письменного обращения по вопросам исполнения настоящего Административного регламента, если иное не предусмотрено законодательством Российской Федерации.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Консультирование осуществляется по следующим вопросам: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содержание и ход предоставления государственной услуги;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время приема документов;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срок принятия решения о предоставлении государственной услуги;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порядок обжалования решений и действий (бездействия) Департамента, а также уполномоченных должностных лиц Департамента, государственных служащих Департамента, МФЦ, работников МФЦ.</w:t>
      </w:r>
      <w:r/>
    </w:p>
    <w:p>
      <w:pPr>
        <w:ind w:left="90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22"/>
        <w:ind w:left="0"/>
        <w:jc w:val="center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2. Стандарт предоставления государственной услуги</w:t>
      </w:r>
      <w:r/>
    </w:p>
    <w:p>
      <w:pPr>
        <w:pStyle w:val="890"/>
        <w:jc w:val="center"/>
        <w:rPr>
          <w:rFonts w:ascii="PT Astra Serif" w:hAnsi="PT Astra Serif"/>
          <w:b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</w:r>
      <w:r/>
    </w:p>
    <w:p>
      <w:pPr>
        <w:pStyle w:val="890"/>
        <w:jc w:val="center"/>
        <w:rPr>
          <w:rFonts w:ascii="PT Astra Serif" w:hAnsi="PT Astra Serif"/>
          <w:b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Наименование государственной услуги</w:t>
      </w:r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  <w:outlineLvl w:val="2"/>
      </w:pPr>
      <w:r>
        <w:rPr>
          <w:rFonts w:ascii="PT Astra Serif" w:hAnsi="PT Astra Serif"/>
          <w:b w:val="0"/>
          <w:bCs w:val="0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Наименование государственной услуги - лицензирование деятельности по заготовке, хранению, переработке и реализации лома черных металлов, цветных металлов.</w:t>
      </w:r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Наименование органа, предоставляющего</w:t>
      </w:r>
      <w:r/>
    </w:p>
    <w:p>
      <w:pPr>
        <w:pStyle w:val="890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государственную услугу</w:t>
      </w:r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Государственная услуга предоставляется Департаментом лицензирования и регионального государственного контроля Томской области.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86"/>
        <w:ind w:firstLine="709"/>
        <w:jc w:val="center"/>
        <w:rPr>
          <w:rFonts w:ascii="PT Astra Serif" w:hAnsi="PT Astra Serif"/>
          <w:bCs/>
          <w:sz w:val="26"/>
          <w:szCs w:val="26"/>
        </w:rPr>
      </w:pPr>
      <w:r/>
      <w:bookmarkStart w:id="3" w:name="_Hlk212108272"/>
      <w:r>
        <w:rPr>
          <w:rFonts w:ascii="PT Astra Serif" w:hAnsi="PT Astra Serif"/>
          <w:sz w:val="26"/>
          <w:szCs w:val="26"/>
        </w:rPr>
        <w:t xml:space="preserve">Результат предоставления государственной услуги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 Результатом предоставления государственной услуги является:</w:t>
      </w:r>
      <w:r/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предоставление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2) внесение изменений в реестр лицензий;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3) прекращение действия лицензии на основании заявления лицензиата;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4) отказ во внесении изменений в реестр лицензий;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5) отказ в предоставлении лицензии;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предоставление выписки из реестра лицензий;</w:t>
      </w:r>
      <w:r/>
    </w:p>
    <w:p>
      <w:pPr>
        <w:pStyle w:val="896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предоставление справки об отсутствии запрашиваемых сведений.</w:t>
      </w:r>
      <w:r/>
    </w:p>
    <w:p>
      <w:pPr>
        <w:ind w:firstLine="72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11. Решение о предоставлении государственной услуги или об отказе в предоставлении государственной услуги может быть:</w:t>
      </w:r>
      <w:r/>
    </w:p>
    <w:p>
      <w:pPr>
        <w:ind w:firstLine="72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1) направлено в форме электронного документа, подписанного усиленной квалифицированной электронной подписью, на адрес электронной почты, указанный заявителем в заявлении о предоставлении государственной услуги;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2) направлено в форме электронного документа, подписанного усиленной квалифицированной электронной подписью, в «личный кабинет» заявителя на ЕПГУ.</w:t>
      </w:r>
      <w:r/>
    </w:p>
    <w:p>
      <w:pPr>
        <w:ind w:firstLine="709"/>
        <w:jc w:val="both"/>
        <w:rPr>
          <w:rFonts w:ascii="PT Astra Serif" w:hAnsi="PT Astra Serif" w:eastAsia="PT Astra Serif" w:cs="PT Astra Serif"/>
          <w:bCs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Решение о предоставлении государственной услуги или об отказе в предоставлении государственной услуги направляется заявителю тем же способом, которым заявитель представил в лицензирующий орган заявление о предоставлении государственной услуги</w:t>
      </w: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  <w:r/>
    </w:p>
    <w:p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</w:r>
      <w:bookmarkEnd w:id="3"/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Срок предоставления государственной услуги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1) 7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предусмотренных пунктом 25 настоящего Административного регламента</w:t>
      </w:r>
      <w:r>
        <w:rPr>
          <w:rFonts w:ascii="PT Astra Serif" w:hAnsi="PT Astra Serif"/>
          <w:sz w:val="26"/>
          <w:szCs w:val="26"/>
        </w:rPr>
        <w:t xml:space="preserve"> - в случае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2) 10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предусмотренных пунктом 25 настоящего Административного регламента</w:t>
      </w:r>
      <w:r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3) 15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</w:t>
      </w:r>
      <w:r>
        <w:rPr>
          <w:rFonts w:ascii="PT Astra Serif" w:hAnsi="PT Astra Serif" w:cs="PT Astra Serif"/>
          <w:sz w:val="26"/>
          <w:szCs w:val="26"/>
        </w:rPr>
        <w:t xml:space="preserve"> предусмотренных пунктом 25 настоящего Административного регламента</w:t>
      </w:r>
      <w:r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</w:t>
      </w:r>
      <w:r>
        <w:rPr>
          <w:rFonts w:ascii="PT Astra Serif" w:hAnsi="PT Astra Serif"/>
          <w:sz w:val="26"/>
          <w:szCs w:val="26"/>
        </w:rPr>
        <w:t xml:space="preserve">зии лицензионным требованиям в форме выездной оценки с использованием средств дистанционного взаимодействия при наличии в заявлении о предоставлении лицензии 5 и более адресов, по которым соискатель лицензии намерен осуществлять лицензируемую деятельность;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) 7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заявления о внесении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регламента - </w:t>
      </w:r>
      <w:r>
        <w:rPr>
          <w:rFonts w:ascii="PT Astra Serif" w:hAnsi="PT Astra Serif" w:cs="PT Astra Serif"/>
          <w:sz w:val="26"/>
          <w:szCs w:val="26"/>
        </w:rPr>
        <w:t xml:space="preserve">в случае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5) 10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заявления о внесении изменений в реестр лицензий и прилагаемых к заявлению о внесении изменений в реестр лице</w:t>
      </w:r>
      <w:r>
        <w:rPr>
          <w:rFonts w:ascii="PT Astra Serif" w:hAnsi="PT Astra Serif" w:cs="PT Astra Serif"/>
          <w:sz w:val="26"/>
          <w:szCs w:val="26"/>
        </w:rPr>
        <w:t xml:space="preserve">нзий документов, предусмотренных пунктом 26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6) 15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заявления о внесени</w:t>
      </w:r>
      <w:r>
        <w:rPr>
          <w:rFonts w:ascii="PT Astra Serif" w:hAnsi="PT Astra Serif" w:cs="PT Astra Serif"/>
          <w:sz w:val="26"/>
          <w:szCs w:val="26"/>
        </w:rPr>
        <w:t xml:space="preserve">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регламента - в случае невозможности проведения оценки соответствия лицензиата лицензионным тр</w:t>
      </w:r>
      <w:r>
        <w:rPr>
          <w:rFonts w:ascii="PT Astra Serif" w:hAnsi="PT Astra Serif" w:cs="PT Astra Serif"/>
          <w:sz w:val="26"/>
          <w:szCs w:val="26"/>
        </w:rPr>
        <w:t xml:space="preserve">ебованиям в форме выездной оценки с использованием средств дистанционного взаимодействия при наличии в заявлении о внесении изменений в реестр лицензий 5 и более новых адресов, по которым соискатель лицензии намерен осуществлять лицензируемую деятельность;</w:t>
      </w:r>
      <w:r/>
    </w:p>
    <w:p>
      <w:pPr>
        <w:pStyle w:val="89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10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прекращении лицензируемого вида деятельности;</w:t>
      </w:r>
      <w:r/>
    </w:p>
    <w:p>
      <w:pPr>
        <w:pStyle w:val="89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3 рабочих дня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сведений о конкретной лицензии из реестра лицензий.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указанный в настоящем пункте Ад</w:t>
      </w:r>
      <w:r>
        <w:rPr>
          <w:rFonts w:ascii="PT Astra Serif" w:hAnsi="PT Astra Serif"/>
          <w:bCs/>
          <w:sz w:val="26"/>
          <w:szCs w:val="26"/>
        </w:rPr>
        <w:t xml:space="preserve">министративного регламента срок не входит срок, предоставляемый Департаментом заявителю для устранения нарушений в оформлении заявления о предоставлении лицензии или заявления о внесении изменений в реестр лицензий и (или) для восполнения документов, необх</w:t>
      </w:r>
      <w:r>
        <w:rPr>
          <w:rFonts w:ascii="PT Astra Serif" w:hAnsi="PT Astra Serif"/>
          <w:bCs/>
          <w:sz w:val="26"/>
          <w:szCs w:val="26"/>
        </w:rPr>
        <w:t xml:space="preserve">одимых для предоставления лицензии в соответствии с пунктом 25 настоящего Административного регламента, или для восполнения документов, необходимых для внесения сведений в реестр лицензий в соответствии с пунктом 26 настоящего Административного регламента.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4" w:name="Par112"/>
      <w:r/>
      <w:bookmarkEnd w:id="4"/>
      <w:r>
        <w:rPr>
          <w:rFonts w:ascii="PT Astra Serif" w:hAnsi="PT Astra Serif"/>
          <w:sz w:val="26"/>
          <w:szCs w:val="26"/>
        </w:rPr>
        <w:t xml:space="preserve">13. В случаях, предусмотренных частями 8, 8.1, 9  статьи 13 </w:t>
      </w:r>
      <w:r>
        <w:rPr>
          <w:rFonts w:ascii="PT Astra Serif" w:hAnsi="PT Astra Serif"/>
          <w:bCs/>
          <w:sz w:val="26"/>
          <w:szCs w:val="26"/>
        </w:rPr>
        <w:t xml:space="preserve">Федерального закона от 4 мая 2011 года № 99-ФЗ «О лицензировании отдельных видов деятельности» (далее – Федеральный  закон № 99-ФЗ),</w:t>
      </w:r>
      <w:r>
        <w:rPr>
          <w:rFonts w:ascii="PT Astra Serif" w:hAnsi="PT Astra Serif"/>
          <w:sz w:val="26"/>
          <w:szCs w:val="26"/>
        </w:rPr>
        <w:t xml:space="preserve"> срок принятия Департаментом решения о предоставлении лицензии или об отказе в предоставлении лицензии исчисляется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 соответствующих требованиям пункта 25 настоящего Административного регламента. 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В случаях, предусмотренных частями 12, 12.1, 14 статьи 18 Федерального закона № 99-ФЗ, срок принятия Департаментом решения о внесении изменений в реестр лицензий или об отказе во внесении изменений в реестр лицензий исчисляется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внесении изменений в реестр лицензий и прилагаемых заявлению о внесении сведений в реестр лицензий документов, соответствующих требованиям пункта 26 настоящего Административного регламента. 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Размер платы, взимаемой с заявителя при предоставлении государственной услуги,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 способы ее взимания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соответствии со </w:t>
      </w:r>
      <w:hyperlink r:id="rId17" w:tooltip="consultantplus://offline/ref=E6253F76ECBDE74FDB2F867513BE2A51D3C727D48C59EBC721662C24D5ACCA2686002373656CC62D026FF3EC67E44650856FD44451W658J" w:history="1">
        <w:r>
          <w:rPr>
            <w:rFonts w:ascii="PT Astra Serif" w:hAnsi="PT Astra Serif" w:cs="PT Astra Serif"/>
            <w:sz w:val="26"/>
            <w:szCs w:val="26"/>
          </w:rPr>
          <w:t xml:space="preserve">статьей 18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>
        <w:rPr>
          <w:rFonts w:ascii="PT Astra Serif" w:hAnsi="PT Astra Serif"/>
          <w:sz w:val="26"/>
          <w:szCs w:val="26"/>
        </w:rPr>
        <w:t xml:space="preserve">№ 99-ФЗ </w:t>
      </w:r>
      <w:r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18" w:tooltip="consultantplus://offline/ref=E6253F76ECBDE74FDB2F867513BE2A51D4CE21D4805CEBC721662C24D5ACCA2686002373676DC47B587FF7A530E85A519971D45A516A29WB51J" w:history="1">
        <w:r>
          <w:rPr>
            <w:rFonts w:ascii="PT Astra Serif" w:hAnsi="PT Astra Serif" w:cs="PT Astra Serif"/>
            <w:sz w:val="26"/>
            <w:szCs w:val="26"/>
          </w:rPr>
          <w:t xml:space="preserve">размерах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порядке,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19" w:tooltip="consultantplus://offline/ref=E6253F76ECBDE74FDB2F867513BE2A51D3C727D48C59EBC721662C24D5ACCA26860023736461C62D026FF3EC67E44650856FD44451W658J" w:history="1">
        <w:r>
          <w:rPr>
            <w:rFonts w:ascii="PT Astra Serif" w:hAnsi="PT Astra Serif" w:cs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</w:t>
      </w:r>
      <w:bookmarkStart w:id="5" w:name="_Hlk212108246"/>
      <w:r>
        <w:rPr>
          <w:rFonts w:ascii="PT Astra Serif" w:hAnsi="PT Astra Serif" w:cs="PT Astra Serif"/>
          <w:sz w:val="26"/>
          <w:szCs w:val="26"/>
        </w:rPr>
        <w:t xml:space="preserve">справка об отсутствии запрашиваемых сведений</w:t>
      </w:r>
      <w:bookmarkEnd w:id="5"/>
      <w:r>
        <w:rPr>
          <w:rFonts w:ascii="PT Astra Serif" w:hAnsi="PT Astra Serif" w:cs="PT Astra Serif"/>
          <w:sz w:val="26"/>
          <w:szCs w:val="26"/>
        </w:rPr>
        <w:t xml:space="preserve">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Согласно абзацу второму пункта 9 постановления Правительства Российской Федерации от 12.03.2022 № 353 «Об особенностях разрешительной</w:t>
      </w:r>
      <w:r>
        <w:rPr>
          <w:rFonts w:ascii="PT Astra Serif" w:hAnsi="PT Astra Serif" w:cs="PT Astra Serif"/>
          <w:sz w:val="26"/>
          <w:szCs w:val="26"/>
        </w:rPr>
        <w:t xml:space="preserve"> деятельности в Российской Федерации» оплата государственных пошлин за предоставление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Сведения о размере государственной пошлины размещаются на ЕПГУ.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Срок регистрации запроса заявителя о предоставлении государственной услуги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16. Срок регистрации запроса о предоставлении государственной услуги составляет один рабочий день со дня поступления </w:t>
      </w:r>
      <w:r>
        <w:rPr>
          <w:rFonts w:ascii="PT Astra Serif" w:hAnsi="PT Astra Serif"/>
          <w:bCs/>
          <w:sz w:val="26"/>
          <w:szCs w:val="26"/>
        </w:rPr>
        <w:t xml:space="preserve">запроса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t xml:space="preserve">в Департамент.</w:t>
      </w:r>
      <w: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случае поступления запроса в электронной форме, в выходной или нерабочий день запрос регистрируется в следующий за ним рабочий день.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Требования к помещениям, в которых предоставляется государственная услуга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17. Здание, в котором располагается Департамент, должно находиться в пешеходной доступности от остановок общественного транспорта.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Здание, в котором расположен Департамент, должно быть оборудовано отдельным входом для свободного доступа заявителей в помещение.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Центральный вход в здание, в котором расположен Департамент должен быть оборудован информационной табличкой (вывеской) о наименовании Департамента.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18. Присутственные места включают места для информирования, приема заявителей.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У входа в каждое из помещений размещается табличка с номером помещения.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Помещения Департамента должны соответствовать санитарно-эпидемиологическим правилам и нормативам.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Помещения оборудуются противопожарной системой.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Департамент обеспечивает доступ инвалидов в помещения д</w:t>
      </w:r>
      <w:r>
        <w:rPr>
          <w:rFonts w:ascii="PT Astra Serif" w:hAnsi="PT Astra Serif"/>
          <w:bCs/>
          <w:sz w:val="26"/>
          <w:szCs w:val="26"/>
        </w:rPr>
        <w:t xml:space="preserve">ля приема заявления о предоставлении выписки из реестра лицензий, в залы ожидания, к местам для заполнения заявлений, к информационным стендам с образцами их заполнения, в соответствии с законодательством Российской Федерации о социальной защите инвалидов.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19.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20. 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21.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 и на ЕПГУ.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pStyle w:val="722"/>
        <w:ind w:left="0"/>
        <w:jc w:val="center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Показатели доступности и качества государственной услуги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22. Показателями доступности и качества государственной услуги являются: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установленный режим работы Департамента не препятствует получению государственной услуги заявителями;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открытый </w:t>
      </w:r>
      <w:r>
        <w:rPr>
          <w:rFonts w:ascii="PT Astra Serif" w:hAnsi="PT Astra Serif"/>
          <w:bCs/>
          <w:sz w:val="26"/>
          <w:szCs w:val="26"/>
        </w:rPr>
        <w:t xml:space="preserve">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уполномоченных должностных лиц Департамента, государственных служащих Департамента, МФЦ, работников МФЦ;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соблюдение стандарта предоставления государственной услуги;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4) отсутствие обоснованных жалоб заявителя, иных лиц на решения, действия (бездействие) Департамента, а также уполномоченных должностных лиц Департамента, государственных служащих Департамента, МФЦ, работников МФЦ при предоставлении государственной услуги;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возможность представления заявителем заявления о предоставлении государственной услуги и </w:t>
      </w:r>
      <w:r>
        <w:rPr>
          <w:rFonts w:ascii="PT Astra Serif" w:hAnsi="PT Astra Serif"/>
          <w:bCs/>
          <w:sz w:val="26"/>
          <w:szCs w:val="26"/>
        </w:rPr>
        <w:t xml:space="preserve">(или) прилагаемых к заявлению о предоставлении государственной услуги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«Интернет», включая ЕПГУ;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предоставление государственной услуги в части прекращения действия лицензии, получения сведений о конкретной лицензии через МФЦ.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23. Для обеспечения возможности подачи заявления о предоставлении государственной услуги и (или) прилагаемых к заявлению о предоставлении государственной услуги документов в электронной форме через ЕПГУ заявитель должен быть зарегистрирован в системе ЕПГУ.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направлении заявления и документов, указанных в пунктах 2</w:t>
      </w:r>
      <w:hyperlink w:tooltip="#P126" w:anchor="P126" w:history="1">
        <w:r>
          <w:rPr>
            <w:rFonts w:ascii="PT Astra Serif" w:hAnsi="PT Astra Serif" w:cs="PT Astra Serif"/>
            <w:sz w:val="26"/>
            <w:szCs w:val="26"/>
          </w:rPr>
          <w:t xml:space="preserve">5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tooltip="#P143" w:anchor="P143" w:history="1">
        <w:r>
          <w:rPr>
            <w:rFonts w:ascii="PT Astra Serif" w:hAnsi="PT Astra Serif" w:cs="PT Astra Serif"/>
            <w:sz w:val="26"/>
            <w:szCs w:val="26"/>
          </w:rPr>
          <w:t xml:space="preserve">2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0" w:tooltip="consultantplus://offline/ref=0FEB93647ABC25D5306F6FE80B397EEB5B95E4B9E5BDB657904A9D8273A818AB6DABCA69C5E46A1B4B1BE81A88pAtDG" w:history="1">
        <w:r>
          <w:rPr>
            <w:rFonts w:ascii="PT Astra Serif" w:hAnsi="PT Astra Serif" w:cs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21" w:tooltip="consultantplus://offline/ref=0FEB93647ABC25D5306F6FE80B397EEB5B9BE2B0ECBCB657904A9D8273A818AB6DABCA69C5E46A1B4B1BE81A88pAtDG" w:history="1">
        <w:r>
          <w:rPr>
            <w:rFonts w:ascii="PT Astra Serif" w:hAnsi="PT Astra Serif" w:cs="PT Astra Serif"/>
            <w:sz w:val="26"/>
            <w:szCs w:val="26"/>
          </w:rPr>
          <w:t xml:space="preserve">постановлением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направлении заявления и документов, указанных в пунктах 2</w:t>
      </w:r>
      <w:hyperlink w:tooltip="#P126" w:anchor="P126" w:history="1">
        <w:r>
          <w:rPr>
            <w:rFonts w:ascii="PT Astra Serif" w:hAnsi="PT Astra Serif" w:cs="PT Astra Serif"/>
            <w:sz w:val="26"/>
            <w:szCs w:val="26"/>
          </w:rPr>
          <w:t xml:space="preserve">5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tooltip="#P143" w:anchor="P143" w:history="1">
        <w:r>
          <w:rPr>
            <w:rFonts w:ascii="PT Astra Serif" w:hAnsi="PT Astra Serif" w:cs="PT Astra Serif"/>
            <w:sz w:val="26"/>
            <w:szCs w:val="26"/>
          </w:rPr>
          <w:t xml:space="preserve">2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представителем, являющимся физическим лицом, заявление может быть подписано усиленной квалифицированной электронной подписью представителя, являющегося физическим лицом, либо усиленной неква</w:t>
      </w:r>
      <w:r>
        <w:rPr>
          <w:rFonts w:ascii="PT Astra Serif" w:hAnsi="PT Astra Serif" w:cs="PT Astra Serif"/>
          <w:sz w:val="26"/>
          <w:szCs w:val="26"/>
        </w:rPr>
        <w:t xml:space="preserve">лифицированной электронной подписью представителя, являющегося физическим лицом,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</w:t>
      </w:r>
      <w:r>
        <w:rPr>
          <w:rFonts w:ascii="PT Astra Serif" w:hAnsi="PT Astra Serif" w:cs="PT Astra Serif"/>
          <w:sz w:val="26"/>
          <w:szCs w:val="26"/>
        </w:rPr>
        <w:t xml:space="preserve">редоставления государственных и муниципальных услуг в электронной форме, в соответствии с постановлением Правительства Российской Федерации от 01.12.2021 № 2152 «Об утверждении Правил создания и использования сертификата ключа проверки усиленной неквалифиц</w:t>
      </w:r>
      <w:r>
        <w:rPr>
          <w:rFonts w:ascii="PT Astra Serif" w:hAnsi="PT Astra Serif" w:cs="PT Astra Serif"/>
          <w:sz w:val="26"/>
          <w:szCs w:val="26"/>
        </w:rPr>
        <w:t xml:space="preserve">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порядке и при условии организации </w:t>
      </w:r>
      <w:r>
        <w:rPr>
          <w:rFonts w:ascii="PT Astra Serif" w:hAnsi="PT Astra Serif" w:cs="PT Astra Serif"/>
          <w:sz w:val="26"/>
          <w:szCs w:val="26"/>
        </w:rPr>
        <w:t xml:space="preserve">взаимодействия представителя, являющегося физическим лицом, с такой инфраструктурой с применением прошедших в установленном порядке процедуру оценки соответствия средств защиты информации.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24. Сведения о п</w:t>
      </w:r>
      <w:r>
        <w:rPr>
          <w:rFonts w:ascii="PT Astra Serif" w:hAnsi="PT Astra Serif"/>
          <w:bCs/>
          <w:sz w:val="26"/>
          <w:szCs w:val="26"/>
        </w:rPr>
        <w:t xml:space="preserve">оказателях доступности и качестве государственной услуги</w:t>
      </w:r>
      <w:r>
        <w:rPr>
          <w:rFonts w:ascii="PT Astra Serif" w:hAnsi="PT Astra Serif" w:cs="PT Astra Serif"/>
          <w:strike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размещаются на официальном сайте Департамента и на ЕПГУ.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  <w:r/>
    </w:p>
    <w:p>
      <w:pPr>
        <w:pStyle w:val="88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для предоставления государственной услуги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25.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 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заявление о предоставлении лицензии;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копии документов, подтверждающих наличие у заявителя необходимых для осуществления лицен</w:t>
      </w:r>
      <w:r>
        <w:rPr>
          <w:rFonts w:ascii="PT Astra Serif" w:hAnsi="PT Astra Serif" w:cs="PT Astra Serif"/>
          <w:sz w:val="26"/>
          <w:szCs w:val="26"/>
        </w:rPr>
        <w:t xml:space="preserve">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</w:t>
      </w:r>
      <w:r>
        <w:rPr>
          <w:rFonts w:ascii="PT Astra Serif" w:hAnsi="PT Astra Serif" w:cs="PT Astra Serif"/>
          <w:sz w:val="26"/>
          <w:szCs w:val="26"/>
        </w:rPr>
        <w:t xml:space="preserve">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>
        <w:rPr>
          <w:rFonts w:ascii="PT Astra Serif" w:hAnsi="PT Astra Serif"/>
          <w:sz w:val="26"/>
          <w:szCs w:val="26"/>
        </w:rPr>
        <w:t xml:space="preserve">копии документов, подтверждающих прохождение соответствующей подготовки и аттестации лиц в соответствии с требованиями </w:t>
      </w:r>
      <w:hyperlink r:id="rId22" w:tooltip="consultantplus://offline/ref=67770C8F6ECA82DC6C49E20C511B316727E943E18246540F99A97D54E83B07318F1CE2BA1E1C1253DDF643B575C4C36DC789128B8632EAC1eEj6E" w:history="1">
        <w:r>
          <w:rPr>
            <w:rFonts w:ascii="PT Astra Serif" w:hAnsi="PT Astra Serif" w:cs="PT Astra Serif"/>
            <w:sz w:val="26"/>
            <w:szCs w:val="26"/>
          </w:rPr>
          <w:t xml:space="preserve">Правил</w:t>
        </w:r>
      </w:hyperlink>
      <w:r>
        <w:rPr>
          <w:rFonts w:ascii="PT Astra Serif" w:hAnsi="PT Astra Serif" w:cs="PT Astra Serif"/>
          <w:sz w:val="26"/>
          <w:szCs w:val="26"/>
        </w:rPr>
        <w:t xml:space="preserve"> обращения с ломом и отходами черных и цветных металлов и их отчуждения, утвержденных п</w:t>
      </w:r>
      <w:r>
        <w:rPr>
          <w:rFonts w:ascii="PT Astra Serif" w:hAnsi="PT Astra Serif"/>
          <w:sz w:val="26"/>
          <w:szCs w:val="26"/>
        </w:rPr>
        <w:t xml:space="preserve">остановлением Правитель</w:t>
      </w:r>
      <w:r>
        <w:rPr>
          <w:rFonts w:ascii="PT Astra Serif" w:hAnsi="PT Astra Serif"/>
          <w:sz w:val="26"/>
          <w:szCs w:val="26"/>
        </w:rPr>
        <w:t xml:space="preserve">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>
        <w:rPr>
          <w:rFonts w:ascii="PT Astra Serif" w:hAnsi="PT Astra Serif"/>
          <w:sz w:val="26"/>
          <w:szCs w:val="26"/>
        </w:rPr>
        <w:t xml:space="preserve">, в случае их отсутствия в федеральной информационной системе «Федеральный реестр сведений о документах об образовании и (или) о квалификации, документах об обучении»;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23" w:tooltip="consultantplus://offline/ref=D0D3D30027F4122E1387AFFDEBE800F76FC08BDB80FF1CFCC498B71A8EAACCA3F65B677BE932FA5B2C09E289F633E39540EDFD37168DAE9FF8j8E" w:history="1">
        <w:r>
          <w:rPr>
            <w:rFonts w:ascii="PT Astra Serif" w:hAnsi="PT Astra Serif" w:cs="PT Astra Serif"/>
            <w:sz w:val="26"/>
            <w:szCs w:val="26"/>
          </w:rPr>
          <w:t xml:space="preserve">Правил</w:t>
        </w:r>
      </w:hyperlink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886"/>
        <w:ind w:firstLine="709"/>
        <w:jc w:val="both"/>
        <w:rPr>
          <w:rFonts w:ascii="PT Astra Serif" w:hAnsi="PT Astra Serif" w:eastAsia="Calibri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 </w:t>
      </w:r>
      <w:r>
        <w:rPr>
          <w:rFonts w:ascii="PT Astra Serif" w:hAnsi="PT Astra Serif" w:cs="PT Astra Serif"/>
          <w:sz w:val="26"/>
          <w:szCs w:val="26"/>
        </w:rPr>
        <w:t xml:space="preserve">Для </w:t>
      </w:r>
      <w:r>
        <w:rPr>
          <w:rFonts w:ascii="PT Astra Serif" w:hAnsi="PT Astra Serif" w:eastAsia="Calibri" w:cs="PT Astra Serif"/>
          <w:sz w:val="26"/>
          <w:szCs w:val="26"/>
        </w:rPr>
        <w:t xml:space="preserve">внесения изменений в реестр лицензий </w:t>
      </w:r>
      <w:r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>
        <w:rPr>
          <w:rFonts w:ascii="PT Astra Serif" w:hAnsi="PT Astra Serif" w:eastAsia="Calibri" w:cs="PT Astra Serif"/>
          <w:sz w:val="26"/>
          <w:szCs w:val="26"/>
        </w:rPr>
        <w:t xml:space="preserve">с использованием личного кабинета заявителя на ЕПГУ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hyperlink r:id="rId24" w:tooltip="consultantplus://offline/ref=C597D9C97098471EF2EB028C3AB955096D148223D9D9216D95F24991ACD620142AE3DAC5872E16B217E82A4670F6695A672EE08265467805FEC0A9E5O9N9F" w:history="1">
        <w:r>
          <w:rPr>
            <w:rFonts w:ascii="PT Astra Serif" w:hAnsi="PT Astra Serif" w:eastAsia="Calibri" w:cs="PT Astra Serif"/>
            <w:sz w:val="26"/>
            <w:szCs w:val="26"/>
          </w:rPr>
          <w:t xml:space="preserve">заявление</w:t>
        </w:r>
      </w:hyperlink>
      <w:r>
        <w:rPr>
          <w:rFonts w:ascii="PT Astra Serif" w:hAnsi="PT Astra Serif" w:eastAsia="Calibri" w:cs="PT Astra Serif"/>
          <w:sz w:val="26"/>
          <w:szCs w:val="26"/>
        </w:rPr>
        <w:t xml:space="preserve"> о внесении изменений в реестр лицензий.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>
        <w:rPr>
          <w:rFonts w:ascii="PT Astra Serif" w:hAnsi="PT Astra Serif"/>
          <w:sz w:val="26"/>
          <w:szCs w:val="26"/>
        </w:rPr>
        <w:t xml:space="preserve">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</w:t>
      </w:r>
      <w:r>
        <w:rPr>
          <w:rFonts w:ascii="PT Astra Serif" w:hAnsi="PT Astra Serif" w:cs="PT Astra Serif"/>
          <w:sz w:val="26"/>
          <w:szCs w:val="26"/>
        </w:rPr>
        <w:t xml:space="preserve">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пунктом 25 настоящего Административного регламента.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27. Д</w:t>
      </w:r>
      <w:r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>
        <w:rPr>
          <w:rFonts w:ascii="PT Astra Serif" w:hAnsi="PT Astra Serif"/>
          <w:sz w:val="26"/>
          <w:szCs w:val="26"/>
        </w:rPr>
        <w:t xml:space="preserve">заявителя </w:t>
      </w:r>
      <w:r>
        <w:rPr>
          <w:rFonts w:ascii="PT Astra Serif" w:hAnsi="PT Astra Serif" w:cs="PT Astra Serif"/>
          <w:sz w:val="26"/>
          <w:szCs w:val="26"/>
        </w:rPr>
        <w:t xml:space="preserve">на ЕПГУ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Calibri"/>
          <w:sz w:val="26"/>
          <w:szCs w:val="26"/>
        </w:rPr>
        <w:t xml:space="preserve">заявление</w:t>
      </w:r>
      <w:r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 в</w:t>
      </w:r>
      <w:r>
        <w:rPr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порядке, предусмотренном пунктом 23 настоящего Административного регламента.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6" w:name="P143"/>
      <w:r/>
      <w:bookmarkEnd w:id="6"/>
      <w:r>
        <w:rPr>
          <w:rFonts w:ascii="PT Astra Serif" w:hAnsi="PT Astra Serif" w:cs="PT Astra Serif"/>
          <w:sz w:val="26"/>
          <w:szCs w:val="26"/>
        </w:rPr>
        <w:t xml:space="preserve">28. </w:t>
      </w:r>
      <w:r>
        <w:rPr>
          <w:rFonts w:ascii="PT Astra Serif" w:hAnsi="PT Astra Serif"/>
          <w:sz w:val="26"/>
          <w:szCs w:val="26"/>
        </w:rPr>
        <w:t xml:space="preserve">Для получения сведений о конкретной лицензии заявитель направляет в Департамент в форме электронного документа </w:t>
      </w:r>
      <w:r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>
        <w:rPr>
          <w:rFonts w:ascii="PT Astra Serif" w:hAnsi="PT Astra Serif"/>
          <w:sz w:val="26"/>
          <w:szCs w:val="26"/>
        </w:rPr>
        <w:t xml:space="preserve">заявителя </w:t>
      </w:r>
      <w:r>
        <w:rPr>
          <w:rFonts w:ascii="PT Astra Serif" w:hAnsi="PT Astra Serif" w:cs="PT Astra Serif"/>
          <w:sz w:val="26"/>
          <w:szCs w:val="26"/>
        </w:rPr>
        <w:t xml:space="preserve">на ЕПГУ</w:t>
      </w:r>
      <w:r>
        <w:rPr>
          <w:rFonts w:ascii="PT Astra Serif" w:hAnsi="PT Astra Serif"/>
          <w:sz w:val="26"/>
          <w:szCs w:val="26"/>
        </w:rPr>
        <w:t xml:space="preserve"> заявление о предоставлении сведений о конкретной лицензии.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В соответствии с пунктом 9(2) постановления Правительства Российской Федерации от 12.03.2022 № 353 «Об особенностях разрешительной деятельности в Российской Федерации», до 2030 года с использованием федеральной государственной информационной системы «Едины</w:t>
      </w:r>
      <w:r>
        <w:rPr>
          <w:rFonts w:ascii="PT Astra Serif" w:hAnsi="PT Astra Serif"/>
          <w:bCs/>
          <w:sz w:val="26"/>
          <w:szCs w:val="26"/>
        </w:rPr>
        <w:t xml:space="preserve">й портал государственных и муниципальных услуг (функций)» может подаваться заявление на получение выписки из реестра разрешений в единой универсальной форме. Такая выписка может подписываться электронной подписью информационной системы, в которой ведется р</w:t>
      </w:r>
      <w:r>
        <w:rPr>
          <w:rFonts w:ascii="PT Astra Serif" w:hAnsi="PT Astra Serif"/>
          <w:bCs/>
          <w:sz w:val="26"/>
          <w:szCs w:val="26"/>
        </w:rPr>
        <w:t xml:space="preserve">еестр разрешений. На выписку из реестра разрешений должен быть нанесен двухмерный штриховой код (QR-код), содержащий в кодированном виде адрес страницы в информационно-телекоммуникационной сети  «Интернет» с размещенной на ней записью в реестре разрешений.</w:t>
      </w:r>
      <w:r/>
    </w:p>
    <w:p>
      <w:pPr>
        <w:pStyle w:val="886"/>
        <w:ind w:firstLine="709"/>
        <w:jc w:val="both"/>
        <w:rPr>
          <w:rFonts w:ascii="PT Astra Serif" w:hAnsi="PT Astra Serif"/>
          <w:b/>
          <w:color w:val="0d00bf"/>
          <w:sz w:val="26"/>
          <w:szCs w:val="26"/>
        </w:rPr>
      </w:pPr>
      <w:r>
        <w:rPr>
          <w:rFonts w:ascii="PT Astra Serif" w:hAnsi="PT Astra Serif"/>
          <w:bCs/>
          <w:color w:val="0d00bf"/>
          <w:sz w:val="26"/>
          <w:szCs w:val="26"/>
        </w:rPr>
        <w:t xml:space="preserve">29. Проверяя достоверность сведений, содерж</w:t>
      </w:r>
      <w:r>
        <w:rPr>
          <w:rFonts w:ascii="PT Astra Serif" w:hAnsi="PT Astra Serif"/>
          <w:bCs/>
          <w:color w:val="0d00bf"/>
          <w:sz w:val="26"/>
          <w:szCs w:val="26"/>
        </w:rPr>
        <w:t xml:space="preserve">ащихся в представленном заявлении о предоставлении государственной услуги и (или) прилагаемых к заявлению о предоставлении государственной услуги документах, специалист комитета формирует и направляет запросы о представлении информации в следующие органы: </w:t>
      </w:r>
      <w:r>
        <w:rPr>
          <w:color w:val="0d00bf"/>
        </w:rPr>
      </w:r>
    </w:p>
    <w:p>
      <w:pPr>
        <w:ind w:firstLine="709"/>
        <w:jc w:val="both"/>
        <w:widowControl w:val="off"/>
        <w:rPr>
          <w:rFonts w:ascii="PT Astra Serif" w:hAnsi="PT Astra Serif"/>
          <w:color w:val="0d00bf"/>
          <w:sz w:val="26"/>
          <w:szCs w:val="26"/>
        </w:rPr>
      </w:pPr>
      <w:r>
        <w:rPr>
          <w:rFonts w:ascii="PT Astra Serif" w:hAnsi="PT Astra Serif"/>
          <w:color w:val="0d00bf"/>
          <w:sz w:val="26"/>
          <w:szCs w:val="26"/>
        </w:rPr>
        <w:t xml:space="preserve">1) в Управление Федеральной налоговой службы по Томской области:</w:t>
      </w:r>
      <w:r>
        <w:rPr>
          <w:color w:val="0d00bf"/>
        </w:rPr>
      </w:r>
    </w:p>
    <w:p>
      <w:pPr>
        <w:ind w:firstLine="709"/>
        <w:jc w:val="both"/>
        <w:rPr>
          <w:rFonts w:ascii="PT Astra Serif" w:hAnsi="PT Astra Serif"/>
          <w:color w:val="0d00bf"/>
          <w:sz w:val="26"/>
          <w:szCs w:val="26"/>
        </w:rPr>
      </w:pPr>
      <w:r>
        <w:rPr>
          <w:rFonts w:ascii="PT Astra Serif" w:hAnsi="PT Astra Serif"/>
          <w:color w:val="0d00bf"/>
          <w:sz w:val="26"/>
          <w:szCs w:val="26"/>
        </w:rPr>
        <w:t xml:space="preserve">а) о предоставлении информации, подтверждающей факт внесения 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  <w:r>
        <w:rPr>
          <w:color w:val="0d00bf"/>
        </w:rPr>
      </w:r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color w:val="0d00bf"/>
          <w:sz w:val="26"/>
          <w:szCs w:val="26"/>
        </w:rPr>
      </w:pPr>
      <w:r>
        <w:rPr>
          <w:rFonts w:ascii="PT Astra Serif" w:hAnsi="PT Astra Serif"/>
          <w:color w:val="0d00bf"/>
          <w:sz w:val="26"/>
          <w:szCs w:val="26"/>
        </w:rPr>
        <w:t xml:space="preserve"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  <w:r>
        <w:rPr>
          <w:color w:val="0d00bf"/>
        </w:rPr>
      </w:r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color w:val="0d00bf"/>
          <w:sz w:val="26"/>
          <w:szCs w:val="26"/>
        </w:rPr>
      </w:pPr>
      <w:r>
        <w:rPr>
          <w:rFonts w:ascii="PT Astra Serif" w:hAnsi="PT Astra Serif"/>
          <w:color w:val="0d00bf"/>
          <w:sz w:val="26"/>
          <w:szCs w:val="26"/>
        </w:rPr>
        <w:t xml:space="preserve">2) в Управление Федеральной службы государственной регистрации, к</w:t>
      </w:r>
      <w:r>
        <w:rPr>
          <w:rFonts w:ascii="PT Astra Serif" w:hAnsi="PT Astra Serif"/>
          <w:color w:val="0d00bf"/>
          <w:sz w:val="26"/>
          <w:szCs w:val="26"/>
        </w:rPr>
        <w:t xml:space="preserve">адастра и картографии по Томской области -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  <w:r>
        <w:rPr>
          <w:color w:val="0d00bf"/>
        </w:rPr>
      </w:r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color w:val="0d00bf"/>
          <w:sz w:val="26"/>
          <w:szCs w:val="26"/>
        </w:rPr>
      </w:pPr>
      <w:r>
        <w:rPr>
          <w:rFonts w:ascii="PT Astra Serif" w:hAnsi="PT Astra Serif"/>
          <w:color w:val="0d00bf"/>
          <w:sz w:val="26"/>
          <w:szCs w:val="26"/>
        </w:rPr>
        <w:t xml:space="preserve">3) в Управление Ф</w:t>
      </w:r>
      <w:r>
        <w:rPr>
          <w:rFonts w:ascii="PT Astra Serif" w:hAnsi="PT Astra Serif"/>
          <w:color w:val="0d00bf"/>
          <w:sz w:val="26"/>
          <w:szCs w:val="26"/>
        </w:rPr>
        <w:t xml:space="preserve">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  <w:r>
        <w:rPr>
          <w:color w:val="0d00bf"/>
        </w:rPr>
      </w:r>
    </w:p>
    <w:p>
      <w:pPr>
        <w:ind w:firstLine="709"/>
        <w:jc w:val="both"/>
        <w:rPr>
          <w:rFonts w:ascii="PT Astra Serif" w:hAnsi="PT Astra Serif"/>
          <w:color w:val="0d00bf"/>
          <w:sz w:val="26"/>
          <w:szCs w:val="26"/>
        </w:rPr>
      </w:pPr>
      <w:r>
        <w:rPr>
          <w:rFonts w:ascii="PT Astra Serif" w:hAnsi="PT Astra Serif"/>
          <w:color w:val="0d00bf"/>
          <w:sz w:val="26"/>
          <w:szCs w:val="26"/>
        </w:rPr>
        <w:t xml:space="preserve">Заявитель вправе представить документы и сведения, предусмотренные настоящим пунктом в Департамент по собственной инициативе.</w:t>
      </w:r>
      <w:r>
        <w:rPr>
          <w:color w:val="0d00bf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</w:t>
      </w:r>
      <w:r>
        <w:rPr>
          <w:rFonts w:ascii="PT Astra Serif" w:hAnsi="PT Astra Serif"/>
          <w:sz w:val="26"/>
          <w:szCs w:val="26"/>
        </w:rPr>
        <w:t xml:space="preserve">каза в приеме запроса о предоставлении государственной услуги и документов, необходимых для предоставления государственной услуги, и исчерпывающий перечень оснований для приостановления предоставления государственной услуги или для отказа в предоставлении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государственной услуги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30.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Основания для отказа в приеме документов, необходимых для предоставления государственной услуги, отсутствуют.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31. Основания для приостановления предоставления государственной услуги отсутствуют.</w:t>
      </w:r>
      <w:r/>
    </w:p>
    <w:p>
      <w:pPr>
        <w:pStyle w:val="722"/>
        <w:ind w:left="0" w:firstLine="709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32. Основанием отказа в предоставлении лицензии является: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наличие в представленных соискателем лицензии заявлении о предоставлении лицензии и (или) прилагаемых к заявлению о предоставлении лицензии документах </w:t>
      </w:r>
      <w:r>
        <w:rPr>
          <w:rFonts w:ascii="PT Astra Serif" w:hAnsi="PT Astra Serif" w:cs="PT Astra Serif"/>
          <w:sz w:val="26"/>
          <w:szCs w:val="26"/>
        </w:rPr>
        <w:t xml:space="preserve">недостоверной или искаженной информации;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несоответствие заявителя лицензионным требованиям;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у юридического лица или индивидуального предпринимателя, обратившихся в Департ</w:t>
      </w:r>
      <w:r>
        <w:rPr>
          <w:rFonts w:ascii="PT Astra Serif" w:hAnsi="PT Astra Serif" w:cs="PT Astra Serif"/>
          <w:sz w:val="26"/>
          <w:szCs w:val="26"/>
        </w:rPr>
        <w:t xml:space="preserve">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33. Основанием для отказа во внесении изменений в реестр лицензий является: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наличие в представленных заявителем заявлении о внесении изменений в реестр лицензий и (или) прилагаемых к заявлению о внесении изменений в реестр лицензий документах недостоверной или искаженной информации;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несоответствие заявителя лицензионным требованиям.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34. В случае отказа в предоставлении государственной услуги Департамент информирует заявителя о причинах отказа в предоставлении государственной услуги с указанием перечня документов и информации, отсутствие и (или) недостоверность которых стали</w:t>
      </w:r>
      <w:r>
        <w:rPr>
          <w:rFonts w:ascii="PT Astra Serif" w:hAnsi="PT Astra Serif" w:cs="PT Astra Serif"/>
          <w:sz w:val="26"/>
          <w:szCs w:val="26"/>
        </w:rPr>
        <w:t xml:space="preserve"> причиной отказа в предоставлении государственной услуги,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35</w:t>
      </w:r>
      <w:r>
        <w:rPr>
          <w:rFonts w:ascii="PT Astra Serif" w:hAnsi="PT Astra Serif" w:cs="PT Astra Serif"/>
          <w:b/>
          <w:bCs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 Основания для отказа в прекращении действия лицензии, предоставлении выписки из реестра лицензий, предоставлении справки об отсутствии запрашиваемых сведений, отсутствуют.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Способы информирования заявителя об изменении статуса рассмотрения  запроса о предоставлении государственной услуги</w:t>
      </w:r>
      <w:r/>
    </w:p>
    <w:p>
      <w:pPr>
        <w:pStyle w:val="886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непосредственно в Департаменте, расположенном по адресу: 634029, г. Томск, ул. Белинского, д. 15а;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по адресу 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 xml:space="preserve">info</w:t>
      </w:r>
      <w:r>
        <w:rPr>
          <w:rFonts w:ascii="PT Astra Serif" w:hAnsi="PT Astra Serif"/>
          <w:sz w:val="26"/>
          <w:szCs w:val="26"/>
          <w:lang w:eastAsia="ru-RU"/>
        </w:rPr>
        <w:t xml:space="preserve">@palata.tomsk.ru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 личном кабинете на</w:t>
      </w:r>
      <w:r>
        <w:rPr>
          <w:rFonts w:ascii="PT Astra Serif" w:hAnsi="PT Astra Serif"/>
          <w:sz w:val="26"/>
          <w:szCs w:val="26"/>
        </w:rPr>
        <w:t xml:space="preserve"> ЕПГУ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sz w:val="26"/>
          <w:szCs w:val="26"/>
        </w:rPr>
        <w:t xml:space="preserve"> http://www.gosuslugi.ru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bCs/>
          <w:sz w:val="26"/>
          <w:szCs w:val="26"/>
        </w:rPr>
        <w:t xml:space="preserve">– комитет лицензионно-разрешительной деятельности Департамента.</w:t>
      </w:r>
      <w:r/>
    </w:p>
    <w:p>
      <w:pPr>
        <w:pStyle w:val="886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Иные требования к предоставлению государственной услуги</w:t>
      </w:r>
      <w:r/>
    </w:p>
    <w:p>
      <w:pPr>
        <w:pStyle w:val="886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  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37. Услуги, которые являются необходимыми и обязательными для предоставления государственной услуги, отсутствуют.</w:t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38.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ПГС).</w:t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sectPr>
      <w:footnotePr/>
      <w:endnotePr/>
      <w:type w:val="nextPage"/>
      <w:pgSz w:w="11907" w:h="16840" w:orient="portrait"/>
      <w:pgMar w:top="1134" w:right="851" w:bottom="567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Batang">
    <w:panose1 w:val="02010600030101010101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22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3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Plain Table 1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8">
    <w:name w:val="Endnote Text Char"/>
    <w:link w:val="709"/>
    <w:uiPriority w:val="99"/>
    <w:rPr>
      <w:sz w:val="20"/>
    </w:rPr>
  </w:style>
  <w:style w:type="paragraph" w:styleId="679" w:default="1">
    <w:name w:val="Normal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80">
    <w:name w:val="Heading 1"/>
    <w:link w:val="71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1">
    <w:name w:val="Heading 2"/>
    <w:link w:val="71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2">
    <w:name w:val="Heading 3"/>
    <w:link w:val="7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3">
    <w:name w:val="Heading 4"/>
    <w:link w:val="7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4">
    <w:name w:val="Heading 5"/>
    <w:link w:val="7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5">
    <w:name w:val="Heading 6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6">
    <w:name w:val="Heading 7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7">
    <w:name w:val="Heading 8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8">
    <w:name w:val="Heading 9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Heading 1 Char"/>
    <w:basedOn w:val="689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Heading 3 Char"/>
    <w:basedOn w:val="689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Heading 5 Char"/>
    <w:basedOn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Heading 6 Char"/>
    <w:basedOn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Heading 7 Char"/>
    <w:basedOn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Heading 8 Char"/>
    <w:basedOn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Heading 9 Char"/>
    <w:basedOn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701" w:customStyle="1">
    <w:name w:val="Title Char"/>
    <w:basedOn w:val="689"/>
    <w:uiPriority w:val="10"/>
    <w:rPr>
      <w:sz w:val="48"/>
      <w:szCs w:val="48"/>
    </w:rPr>
  </w:style>
  <w:style w:type="character" w:styleId="702" w:customStyle="1">
    <w:name w:val="Subtitle Char"/>
    <w:basedOn w:val="689"/>
    <w:uiPriority w:val="11"/>
    <w:rPr>
      <w:sz w:val="24"/>
      <w:szCs w:val="24"/>
    </w:rPr>
  </w:style>
  <w:style w:type="character" w:styleId="703" w:customStyle="1">
    <w:name w:val="Quote Char"/>
    <w:uiPriority w:val="29"/>
    <w:rPr>
      <w:i/>
    </w:rPr>
  </w:style>
  <w:style w:type="character" w:styleId="704" w:customStyle="1">
    <w:name w:val="Intense Quote Char"/>
    <w:uiPriority w:val="30"/>
    <w:rPr>
      <w:i/>
    </w:rPr>
  </w:style>
  <w:style w:type="character" w:styleId="705" w:customStyle="1">
    <w:name w:val="Header Char"/>
    <w:basedOn w:val="689"/>
    <w:uiPriority w:val="99"/>
  </w:style>
  <w:style w:type="character" w:styleId="706" w:customStyle="1">
    <w:name w:val="Footer Char"/>
    <w:basedOn w:val="689"/>
    <w:uiPriority w:val="99"/>
  </w:style>
  <w:style w:type="character" w:styleId="707" w:customStyle="1">
    <w:name w:val="Caption Char"/>
    <w:uiPriority w:val="99"/>
  </w:style>
  <w:style w:type="character" w:styleId="708" w:customStyle="1">
    <w:name w:val="Footnote Text Char"/>
    <w:uiPriority w:val="99"/>
    <w:rPr>
      <w:sz w:val="18"/>
    </w:rPr>
  </w:style>
  <w:style w:type="paragraph" w:styleId="709">
    <w:name w:val="endnote text"/>
    <w:basedOn w:val="679"/>
    <w:link w:val="710"/>
    <w:uiPriority w:val="99"/>
    <w:semiHidden/>
    <w:unhideWhenUsed/>
  </w:style>
  <w:style w:type="character" w:styleId="710" w:customStyle="1">
    <w:name w:val="Текст концевой сноски Знак"/>
    <w:link w:val="709"/>
    <w:uiPriority w:val="99"/>
    <w:rPr>
      <w:sz w:val="20"/>
    </w:rPr>
  </w:style>
  <w:style w:type="character" w:styleId="711">
    <w:name w:val="endnote reference"/>
    <w:basedOn w:val="689"/>
    <w:uiPriority w:val="99"/>
    <w:semiHidden/>
    <w:unhideWhenUsed/>
    <w:rPr>
      <w:vertAlign w:val="superscript"/>
    </w:rPr>
  </w:style>
  <w:style w:type="paragraph" w:styleId="712">
    <w:name w:val="table of figures"/>
    <w:basedOn w:val="679"/>
    <w:next w:val="679"/>
    <w:uiPriority w:val="99"/>
    <w:unhideWhenUsed/>
  </w:style>
  <w:style w:type="character" w:styleId="713" w:customStyle="1">
    <w:name w:val="Заголовок 1 Знак"/>
    <w:link w:val="680"/>
    <w:uiPriority w:val="9"/>
    <w:rPr>
      <w:rFonts w:ascii="Arial" w:hAnsi="Arial" w:eastAsia="Arial"/>
      <w:sz w:val="40"/>
      <w:szCs w:val="40"/>
      <w:lang w:bidi="ar-SA"/>
    </w:rPr>
  </w:style>
  <w:style w:type="character" w:styleId="714" w:customStyle="1">
    <w:name w:val="Заголовок 2 Знак"/>
    <w:link w:val="681"/>
    <w:uiPriority w:val="9"/>
    <w:rPr>
      <w:rFonts w:ascii="Arial" w:hAnsi="Arial" w:eastAsia="Arial"/>
      <w:sz w:val="34"/>
      <w:lang w:bidi="ar-SA"/>
    </w:rPr>
  </w:style>
  <w:style w:type="character" w:styleId="715" w:customStyle="1">
    <w:name w:val="Заголовок 3 Знак"/>
    <w:link w:val="682"/>
    <w:uiPriority w:val="9"/>
    <w:rPr>
      <w:rFonts w:ascii="Arial" w:hAnsi="Arial" w:eastAsia="Arial"/>
      <w:sz w:val="30"/>
      <w:szCs w:val="30"/>
      <w:lang w:bidi="ar-SA"/>
    </w:rPr>
  </w:style>
  <w:style w:type="character" w:styleId="716" w:customStyle="1">
    <w:name w:val="Заголовок 4 Знак"/>
    <w:link w:val="68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7" w:customStyle="1">
    <w:name w:val="Заголовок 5 Знак"/>
    <w:link w:val="68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8" w:customStyle="1">
    <w:name w:val="Заголовок 6 Знак"/>
    <w:link w:val="68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9" w:customStyle="1">
    <w:name w:val="Заголовок 7 Знак"/>
    <w:link w:val="68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0" w:customStyle="1">
    <w:name w:val="Заголовок 8 Знак"/>
    <w:link w:val="68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1" w:customStyle="1">
    <w:name w:val="Заголовок 9 Знак"/>
    <w:link w:val="68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2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2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4">
    <w:name w:val="Title"/>
    <w:link w:val="72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5" w:customStyle="1">
    <w:name w:val="Заголовок Знак"/>
    <w:link w:val="724"/>
    <w:uiPriority w:val="10"/>
    <w:rPr>
      <w:sz w:val="48"/>
      <w:szCs w:val="48"/>
      <w:lang w:bidi="ar-SA"/>
    </w:rPr>
  </w:style>
  <w:style w:type="paragraph" w:styleId="726">
    <w:name w:val="Subtitle"/>
    <w:link w:val="72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7" w:customStyle="1">
    <w:name w:val="Подзаголовок Знак"/>
    <w:link w:val="726"/>
    <w:uiPriority w:val="11"/>
    <w:rPr>
      <w:sz w:val="24"/>
      <w:szCs w:val="24"/>
      <w:lang w:bidi="ar-SA"/>
    </w:rPr>
  </w:style>
  <w:style w:type="paragraph" w:styleId="728">
    <w:name w:val="Quote"/>
    <w:link w:val="72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9" w:customStyle="1">
    <w:name w:val="Цитата 2 Знак"/>
    <w:link w:val="728"/>
    <w:uiPriority w:val="29"/>
    <w:rPr>
      <w:i/>
      <w:lang w:val="ru-RU" w:eastAsia="ru-RU" w:bidi="ar-SA"/>
    </w:rPr>
  </w:style>
  <w:style w:type="paragraph" w:styleId="730">
    <w:name w:val="Intense Quote"/>
    <w:link w:val="73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1" w:customStyle="1">
    <w:name w:val="Выделенная цитата Знак"/>
    <w:link w:val="730"/>
    <w:uiPriority w:val="30"/>
    <w:rPr>
      <w:i/>
      <w:shd w:val="clear" w:color="auto" w:fill="f2f2f2"/>
      <w:lang w:val="ru-RU" w:eastAsia="ru-RU" w:bidi="ar-SA"/>
    </w:rPr>
  </w:style>
  <w:style w:type="paragraph" w:styleId="732">
    <w:name w:val="Header"/>
    <w:basedOn w:val="679"/>
    <w:link w:val="73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3" w:customStyle="1">
    <w:name w:val="Верхний колонтитул Знак"/>
    <w:link w:val="732"/>
    <w:uiPriority w:val="99"/>
  </w:style>
  <w:style w:type="paragraph" w:styleId="734">
    <w:name w:val="Footer"/>
    <w:basedOn w:val="679"/>
    <w:link w:val="735"/>
    <w:uiPriority w:val="99"/>
    <w:pPr>
      <w:tabs>
        <w:tab w:val="center" w:pos="4153" w:leader="none"/>
        <w:tab w:val="right" w:pos="8306" w:leader="none"/>
      </w:tabs>
    </w:pPr>
  </w:style>
  <w:style w:type="character" w:styleId="735" w:customStyle="1">
    <w:name w:val="Нижний колонтитул Знак"/>
    <w:link w:val="734"/>
    <w:uiPriority w:val="99"/>
  </w:style>
  <w:style w:type="table" w:styleId="73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nhideWhenUsed/>
    <w:rPr>
      <w:color w:val="0000ff"/>
      <w:u w:val="single"/>
    </w:rPr>
  </w:style>
  <w:style w:type="paragraph" w:styleId="863">
    <w:name w:val="footnote text"/>
    <w:link w:val="86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4" w:customStyle="1">
    <w:name w:val="Текст сноски Знак"/>
    <w:link w:val="863"/>
    <w:uiPriority w:val="99"/>
    <w:semiHidden/>
    <w:rPr>
      <w:sz w:val="18"/>
      <w:lang w:bidi="ar-SA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Body Text"/>
    <w:basedOn w:val="679"/>
    <w:next w:val="679"/>
    <w:pPr>
      <w:jc w:val="both"/>
    </w:pPr>
    <w:rPr>
      <w:sz w:val="22"/>
    </w:rPr>
  </w:style>
  <w:style w:type="character" w:styleId="877">
    <w:name w:val="page number"/>
    <w:basedOn w:val="689"/>
  </w:style>
  <w:style w:type="paragraph" w:styleId="878">
    <w:name w:val="Caption"/>
    <w:basedOn w:val="679"/>
    <w:next w:val="679"/>
    <w:pPr>
      <w:jc w:val="center"/>
    </w:pPr>
    <w:rPr>
      <w:b/>
      <w:sz w:val="28"/>
    </w:rPr>
  </w:style>
  <w:style w:type="paragraph" w:styleId="879">
    <w:name w:val="Body Text 2"/>
    <w:basedOn w:val="679"/>
    <w:pPr>
      <w:ind w:right="5102"/>
      <w:jc w:val="center"/>
      <w:spacing w:before="120"/>
    </w:pPr>
  </w:style>
  <w:style w:type="paragraph" w:styleId="880" w:customStyle="1">
    <w:name w:val="Обращение"/>
    <w:basedOn w:val="679"/>
    <w:next w:val="679"/>
    <w:pPr>
      <w:jc w:val="center"/>
      <w:spacing w:before="240" w:after="120"/>
    </w:pPr>
    <w:rPr>
      <w:b/>
    </w:rPr>
  </w:style>
  <w:style w:type="paragraph" w:styleId="881" w:customStyle="1">
    <w:name w:val="Адресные реквизиты"/>
    <w:basedOn w:val="876"/>
    <w:next w:val="876"/>
    <w:pPr>
      <w:jc w:val="left"/>
    </w:pPr>
    <w:rPr>
      <w:sz w:val="16"/>
    </w:rPr>
  </w:style>
  <w:style w:type="paragraph" w:styleId="882" w:customStyle="1">
    <w:name w:val="Адресат"/>
    <w:basedOn w:val="679"/>
    <w:pPr>
      <w:spacing w:before="120"/>
    </w:pPr>
    <w:rPr>
      <w:b/>
    </w:rPr>
  </w:style>
  <w:style w:type="paragraph" w:styleId="883">
    <w:name w:val="Body Text 3"/>
    <w:basedOn w:val="679"/>
    <w:pPr>
      <w:spacing w:before="120"/>
      <w:tabs>
        <w:tab w:val="left" w:pos="7371" w:leader="none"/>
      </w:tabs>
    </w:pPr>
    <w:rPr>
      <w:sz w:val="28"/>
    </w:rPr>
  </w:style>
  <w:style w:type="paragraph" w:styleId="884">
    <w:name w:val="Balloon Text"/>
    <w:basedOn w:val="679"/>
    <w:link w:val="885"/>
    <w:uiPriority w:val="99"/>
    <w:semiHidden/>
    <w:unhideWhenUsed/>
    <w:rPr>
      <w:rFonts w:ascii="Tahoma" w:hAnsi="Tahoma"/>
      <w:sz w:val="16"/>
      <w:szCs w:val="16"/>
    </w:rPr>
  </w:style>
  <w:style w:type="character" w:styleId="885" w:customStyle="1">
    <w:name w:val="Текст выноски Знак"/>
    <w:link w:val="884"/>
    <w:uiPriority w:val="99"/>
    <w:semiHidden/>
    <w:rPr>
      <w:rFonts w:ascii="Tahoma" w:hAnsi="Tahoma" w:cs="Tahoma"/>
      <w:sz w:val="16"/>
      <w:szCs w:val="16"/>
    </w:rPr>
  </w:style>
  <w:style w:type="paragraph" w:styleId="88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7">
    <w:name w:val="Body Text Indent"/>
    <w:basedOn w:val="679"/>
    <w:link w:val="888"/>
    <w:uiPriority w:val="99"/>
    <w:semiHidden/>
    <w:unhideWhenUsed/>
    <w:pPr>
      <w:ind w:left="283"/>
      <w:spacing w:after="120"/>
    </w:pPr>
  </w:style>
  <w:style w:type="character" w:styleId="888" w:customStyle="1">
    <w:name w:val="Основной текст с отступом Знак"/>
    <w:link w:val="887"/>
    <w:uiPriority w:val="99"/>
    <w:semiHidden/>
    <w:rPr>
      <w:sz w:val="22"/>
      <w:szCs w:val="22"/>
      <w:lang w:eastAsia="en-US" w:bidi="en-US"/>
    </w:rPr>
  </w:style>
  <w:style w:type="paragraph" w:styleId="889" w:customStyle="1">
    <w:name w:val="Заголовок 11"/>
    <w:basedOn w:val="734"/>
    <w:next w:val="73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90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891" w:customStyle="1">
    <w:name w:val="pagesindoccount"/>
  </w:style>
  <w:style w:type="character" w:styleId="892" w:customStyle="1">
    <w:name w:val="Основной текст (2)_"/>
    <w:link w:val="893"/>
    <w:rPr>
      <w:sz w:val="25"/>
      <w:szCs w:val="25"/>
      <w:shd w:val="clear" w:color="auto" w:fill="ffffff"/>
    </w:rPr>
  </w:style>
  <w:style w:type="paragraph" w:styleId="893" w:customStyle="1">
    <w:name w:val="Основной текст (2)"/>
    <w:basedOn w:val="679"/>
    <w:link w:val="892"/>
    <w:pPr>
      <w:jc w:val="center"/>
      <w:spacing w:before="3720" w:after="420" w:line="240" w:lineRule="atLeast"/>
      <w:shd w:val="clear" w:color="auto" w:fill="ffffff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5"/>
      <w:szCs w:val="25"/>
    </w:rPr>
  </w:style>
  <w:style w:type="paragraph" w:styleId="894" w:customStyle="1">
    <w:name w:val="Прижатый влево"/>
    <w:basedOn w:val="679"/>
    <w:next w:val="679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Arial" w:hAnsi="Arial"/>
      <w:sz w:val="22"/>
      <w:szCs w:val="22"/>
    </w:rPr>
  </w:style>
  <w:style w:type="paragraph" w:styleId="89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896">
    <w:name w:val="Normal (Web)"/>
    <w:basedOn w:val="679"/>
    <w:uiPriority w:val="99"/>
    <w:semiHidden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consultantplus://offline/ref=CEE453A2CB28F7102C0462E5185FF46E9F877D88D042658249AB3A62BC4A9C31A65286EAB958231AfB29B" TargetMode="External"/><Relationship Id="rId13" Type="http://schemas.openxmlformats.org/officeDocument/2006/relationships/hyperlink" Target="consultantplus://offline/ref=CEE453A2CB28F7102C0462F31B33AA6A9C8C2280D24A68D21CF93C35E31A9A64E61280BFFA1C2F1BBB4AE467f42CB" TargetMode="External"/><Relationship Id="rId14" Type="http://schemas.openxmlformats.org/officeDocument/2006/relationships/hyperlink" Target="consultantplus://offline/ref=CEE453A2CB28F7102C0462F31B33AA6A9C8C2280D24A68D21CF93C35E31A9A64E61280BFFA1C2F1BBB4AE466f421B" TargetMode="External"/><Relationship Id="rId15" Type="http://schemas.openxmlformats.org/officeDocument/2006/relationships/hyperlink" Target="mailto:info@palata.tomsk.ru" TargetMode="External"/><Relationship Id="rId16" Type="http://schemas.openxmlformats.org/officeDocument/2006/relationships/hyperlink" Target="http://www.gosuslugi.ru" TargetMode="External"/><Relationship Id="rId17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18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19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20" Type="http://schemas.openxmlformats.org/officeDocument/2006/relationships/hyperlink" Target="consultantplus://offline/ref=0FEB93647ABC25D5306F6FE80B397EEB5B95E4B9E5BDB657904A9D8273A818AB6DABCA69C5E46A1B4B1BE81A88pAtDG" TargetMode="External"/><Relationship Id="rId21" Type="http://schemas.openxmlformats.org/officeDocument/2006/relationships/hyperlink" Target="consultantplus://offline/ref=0FEB93647ABC25D5306F6FE80B397EEB5B9BE2B0ECBCB657904A9D8273A818AB6DABCA69C5E46A1B4B1BE81A88pAtDG" TargetMode="External"/><Relationship Id="rId22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3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24" Type="http://schemas.openxmlformats.org/officeDocument/2006/relationships/hyperlink" Target="consultantplus://offline/ref=C597D9C97098471EF2EB028C3AB955096D148223D9D9216D95F24991ACD620142AE3DAC5872E16B217E82A4670F6695A672EE08265467805FEC0A9E5O9N9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6</cp:revision>
  <dcterms:created xsi:type="dcterms:W3CDTF">2026-04-07T03:56:00Z</dcterms:created>
  <dcterms:modified xsi:type="dcterms:W3CDTF">2026-07-17T08:13:38Z</dcterms:modified>
</cp:coreProperties>
</file>