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Layout w:type="fixed"/>
          <w:tblLook w:val="04A0"/>
        </w:tblPrEx>
        <w:trPr>
          <w:trHeight w:val="338"/>
        </w:trPr>
        <w:tc>
          <w:tcPr>
            <w:tcW w:w="1701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10.09.2026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noWrap w:val="0"/>
            <w:tcMar>
              <w:right w:w="85" w:type="dxa"/>
            </w:tcMar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shd w:val="clear" w:color="FFFFFF" w:fill="FFFFFF" w:themeColor="background1" w:themeFill="background1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shd w:val="clear" w:color="FFFFFF" w:fill="FFFFFF" w:themeColor="background1" w:themeFill="background1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shd w:val="clear" w:color="FFFFFF" w:fill="FFFFFF" w:themeColor="background1" w:themeFill="background1"/>
              </w:rPr>
              <w:t>31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shd w:val="clear" w:color="FFFFFF" w:fill="FFFFFF" w:themeColor="background1" w:themeFill="background1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shd w:val="clear" w:color="FFFFFF" w:fill="FFFFFF" w:themeColor="background1" w:themeFill="background1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shd w:val="clear" w:color="FFFFFF" w:fill="FFFFFF" w:themeColor="background1" w:themeFill="background1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shd w:val="clear" w:color="FFFFFF" w:fill="FFFFFF" w:themeColor="background1" w:themeFill="background1"/>
              </w:rPr>
              <w:fldChar w:fldCharType="end"/>
            </w:r>
            <w:bookmarkEnd w:id="1"/>
          </w:p>
        </w:tc>
      </w:tr>
    </w:tbl>
    <w:p>
      <w:pPr>
        <w:pStyle w:val="ConsPlusNormal"/>
        <w:spacing w:before="232" w:beforeAutospacing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4"/>
          <w:szCs w:val="24"/>
        </w:rPr>
        <w:t>О внесении изменения в приказ Департамента по управлению государственной собственностью Томской области от 25.12.2018 № 49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В целях совершенствования нормативного правового акта 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ПРИКАЗЫВАЮ:</w:t>
      </w:r>
    </w:p>
    <w:p>
      <w:pPr>
        <w:pStyle w:val="ConsPlusNormal"/>
        <w:numPr>
          <w:ilvl w:val="0"/>
          <w:numId w:val="4"/>
        </w:numPr>
        <w:tabs>
          <w:tab w:val="left" w:pos="992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Внести в приказ Департамента по управлению государственной с</w:t>
      </w:r>
      <w:r>
        <w:rPr>
          <w:rFonts w:ascii="PT Astra Serif" w:hAnsi="PT Astra Serif" w:cs="Times New Roman"/>
          <w:sz w:val="24"/>
          <w:szCs w:val="24"/>
        </w:rPr>
        <w:t xml:space="preserve">обственностью Томской области от 25.12.2018 № 49 «О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области» </w:t>
      </w:r>
      <w:r>
        <w:rPr>
          <w:rFonts w:ascii="PT Astra Serif" w:hAnsi="PT Astra Serif" w:cs="Times New Roman"/>
          <w:sz w:val="24"/>
          <w:szCs w:val="24"/>
        </w:rPr>
        <w:t>(</w:t>
      </w:r>
      <w:r>
        <w:rPr>
          <w:rFonts w:ascii="PT Astra Serif" w:hAnsi="PT Astra Serif" w:cs="Times New Roman"/>
          <w:sz w:val="24"/>
          <w:szCs w:val="24"/>
        </w:rPr>
        <w:t>«</w:t>
      </w:r>
      <w:bookmarkStart w:id="2" w:name="undefined"/>
      <w:bookmarkEnd w:id="2"/>
      <w:r>
        <w:rPr>
          <w:rFonts w:ascii="PT Astra Serif" w:hAnsi="PT Astra Serif" w:cs="Times New Roman"/>
          <w:sz w:val="24"/>
          <w:szCs w:val="24"/>
        </w:rPr>
        <w:t xml:space="preserve">Официальный  </w:t>
      </w:r>
      <w:r>
        <w:rPr>
          <w:rFonts w:ascii="PT Astra Serif" w:hAnsi="PT Astra Serif" w:cs="Times New Roman"/>
          <w:sz w:val="24"/>
          <w:szCs w:val="24"/>
        </w:rPr>
        <w:t>интернет-портал правовой информации» (www.pravo.gov.ru)</w:t>
      </w:r>
      <w:r>
        <w:rPr>
          <w:rFonts w:ascii="PT Astra Serif" w:hAnsi="PT Astra Serif" w:cs="Times New Roman"/>
          <w:sz w:val="24"/>
          <w:szCs w:val="24"/>
        </w:rPr>
        <w:t xml:space="preserve">, 26.12.2018,  </w:t>
      </w:r>
      <w:r>
        <w:rPr>
          <w:rFonts w:ascii="PT Astra Serif" w:hAnsi="PT Astra Serif" w:cs="Times New Roman"/>
          <w:sz w:val="24"/>
          <w:szCs w:val="24"/>
        </w:rPr>
        <w:t xml:space="preserve">№ 7001201812260003) изменение, изложив пункт 8 </w:t>
      </w:r>
      <w:r>
        <w:rPr>
          <w:rFonts w:ascii="PT Astra Serif" w:hAnsi="PT Astra Serif" w:cs="Times New Roman"/>
          <w:sz w:val="24"/>
          <w:szCs w:val="24"/>
        </w:rPr>
        <w:t xml:space="preserve">таблицы </w:t>
      </w:r>
      <w:r>
        <w:rPr>
          <w:rFonts w:ascii="PT Astra Serif" w:hAnsi="PT Astra Serif" w:cs="Times New Roman"/>
          <w:sz w:val="24"/>
          <w:szCs w:val="24"/>
        </w:rPr>
        <w:t>«Показатели и критерии оценки эффективно</w:t>
      </w:r>
      <w:r>
        <w:rPr>
          <w:rFonts w:ascii="PT Astra Serif" w:hAnsi="PT Astra Serif" w:cs="Times New Roman"/>
          <w:sz w:val="24"/>
          <w:szCs w:val="24"/>
        </w:rPr>
        <w:t>сти деятельности областного государственного бюджетного  учреждения «Томский областной центр инвентаризации и кадастра» и его руководителя и условия осуществления выплат стимулирующего характера, предусмотренных трудовым договором с руководителем ука</w:t>
      </w:r>
      <w:r>
        <w:rPr>
          <w:rFonts w:ascii="PT Astra Serif" w:hAnsi="PT Astra Serif" w:cs="Times New Roman"/>
          <w:sz w:val="24"/>
          <w:szCs w:val="24"/>
        </w:rPr>
        <w:t xml:space="preserve">занного учреждения», </w:t>
      </w:r>
      <w:r>
        <w:rPr>
          <w:rFonts w:ascii="PT Astra Serif" w:hAnsi="PT Astra Serif" w:cs="Times New Roman"/>
          <w:sz w:val="24"/>
          <w:szCs w:val="24"/>
        </w:rPr>
        <w:t>являющейся приложением № 2 к Положению 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</w:t>
      </w:r>
      <w:r>
        <w:rPr>
          <w:rFonts w:ascii="PT Astra Serif" w:hAnsi="PT Astra Serif" w:cs="Times New Roman"/>
          <w:sz w:val="24"/>
          <w:szCs w:val="24"/>
        </w:rPr>
        <w:t xml:space="preserve"> области, утвержденному указанным приказом,</w:t>
      </w:r>
      <w:r>
        <w:rPr>
          <w:rFonts w:ascii="PT Astra Serif" w:hAnsi="PT Astra Serif" w:cs="Times New Roman"/>
          <w:sz w:val="24"/>
          <w:szCs w:val="24"/>
          <w:highlight w:val="none"/>
        </w:rPr>
        <w:t xml:space="preserve"> в следующей редакции:</w:t>
      </w:r>
    </w:p>
    <w:tbl>
      <w:tblPr>
        <w:tblStyle w:val="TableGrid"/>
        <w:tblW w:w="0" w:type="auto"/>
        <w:tblInd w:w="107" w:type="dxa"/>
        <w:tblLayout w:type="fixed"/>
        <w:tblLook w:val="04A0"/>
      </w:tblPr>
      <w:tblGrid>
        <w:gridCol w:w="3543"/>
        <w:gridCol w:w="2551"/>
        <w:gridCol w:w="3652"/>
      </w:tblGrid>
      <w:tr>
        <w:tblPrEx>
          <w:tblW w:w="0" w:type="auto"/>
          <w:tblInd w:w="107" w:type="dxa"/>
          <w:tblLayout w:type="fixed"/>
          <w:tblLook w:val="04A0"/>
        </w:tblPrEx>
        <w:tc>
          <w:tcPr>
            <w:tcW w:w="3543" w:type="dxa"/>
            <w:noWrap w:val="0"/>
            <w:textDirection w:val="lrTb"/>
          </w:tcPr>
          <w:p>
            <w:pPr>
              <w:pStyle w:val="ConsPlusNormal"/>
              <w:tabs>
                <w:tab w:val="left" w:pos="992"/>
              </w:tabs>
              <w:ind w:left="0" w:right="0" w:firstLine="0"/>
              <w:jc w:val="both"/>
              <w:rPr>
                <w:rFonts w:ascii="PT Astra Serif" w:hAnsi="PT Astra Serif" w:cs="Times New Roman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8. Укомплектованность ОГБУ «ТОЦИК» штатными единицами</w:t>
            </w:r>
          </w:p>
        </w:tc>
        <w:tc>
          <w:tcPr>
            <w:tcW w:w="2551" w:type="dxa"/>
            <w:noWrap w:val="0"/>
            <w:textDirection w:val="lrTb"/>
          </w:tcPr>
          <w:p>
            <w:pPr>
              <w:pStyle w:val="ConsPlusNormal"/>
              <w:tabs>
                <w:tab w:val="left" w:pos="992"/>
              </w:tabs>
              <w:ind w:left="0" w:right="0" w:firstLine="0"/>
              <w:jc w:val="both"/>
              <w:rPr>
                <w:rFonts w:ascii="PT Astra Serif" w:hAnsi="PT Astra Serif" w:cs="Times New Roman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Не менее 75 процентов штатной численности ОГБУ «ТОЦИК»</w:t>
            </w:r>
          </w:p>
        </w:tc>
        <w:tc>
          <w:tcPr>
            <w:tcW w:w="3652" w:type="dxa"/>
            <w:noWrap w:val="0"/>
            <w:textDirection w:val="lrTb"/>
          </w:tcPr>
          <w:p>
            <w:pPr>
              <w:pStyle w:val="ConsPlusNormal"/>
              <w:tabs>
                <w:tab w:val="left" w:pos="992"/>
              </w:tabs>
              <w:ind w:left="0" w:right="0" w:firstLine="0"/>
              <w:jc w:val="both"/>
              <w:rPr>
                <w:rFonts w:ascii="PT Astra Serif" w:hAnsi="PT Astra Serif" w:cs="Times New Roman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декабрь - 0,837 балла за месяц, остальные месяцы - 0,833 балла в месяц (всего 10 баллов в год)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».</w:t>
            </w:r>
          </w:p>
        </w:tc>
      </w:tr>
    </w:tbl>
    <w:p>
      <w:pPr>
        <w:pStyle w:val="ConsPlusNormal"/>
        <w:numPr>
          <w:ilvl w:val="0"/>
          <w:numId w:val="4"/>
        </w:numPr>
        <w:tabs>
          <w:tab w:val="left" w:pos="992"/>
        </w:tabs>
        <w:ind w:left="0" w:firstLine="709"/>
        <w:jc w:val="both"/>
        <w:rPr>
          <w:rFonts w:ascii="PT Astra Serif" w:hAnsi="PT Astra Serif" w:cs="Times New Roman"/>
          <w:sz w:val="24"/>
          <w:szCs w:val="24"/>
          <w:highlight w:val="none"/>
        </w:rPr>
      </w:pPr>
      <w:r>
        <w:rPr>
          <w:rFonts w:ascii="PT Astra Serif" w:hAnsi="PT Astra Serif" w:cs="Times New Roman"/>
          <w:sz w:val="24"/>
          <w:szCs w:val="24"/>
          <w:highlight w:val="none"/>
        </w:rPr>
        <w:t xml:space="preserve"> Настоящий приказ вступает в силу со дня его официального опубликования и </w:t>
      </w:r>
      <w:r>
        <w:rPr>
          <w:rFonts w:ascii="PT Astra Serif" w:hAnsi="PT Astra Serif" w:cs="Times New Roman"/>
          <w:sz w:val="24"/>
          <w:szCs w:val="24"/>
          <w:highlight w:val="none"/>
        </w:rPr>
        <w:t>распространяет свое действие на правоотношения, возникшие с 01.08.2026.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ind w:firstLine="0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ind w:firstLine="0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r>
              <w:rPr>
                <w:rFonts w:ascii="PT Astra Serif" w:hAnsi="PT Astra Serif"/>
                <w:sz w:val="24"/>
                <w:szCs w:val="24"/>
              </w:rPr>
              <w:t> Т.А. Исакова</w:t>
            </w:r>
          </w:p>
          <w:p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>
      <w:pPr>
        <w:pBdr>
          <w:right w:val="nil"/>
        </w:pBd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  <w:highlight w:val="none"/>
          <w:lang w:val="en-US"/>
        </w:rPr>
      </w:pPr>
    </w:p>
    <w:p>
      <w:pPr>
        <w:pBdr>
          <w:right w:val="nil"/>
        </w:pBd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  <w:highlight w:val="none"/>
          <w:lang w:val="en-US"/>
        </w:rPr>
      </w:pPr>
    </w:p>
    <w:sectPr>
      <w:headerReference w:type="default" r:id="rId5"/>
      <w:headerReference w:type="first" r:id="rId6"/>
      <w:type w:val="continuous"/>
      <w:pgSz w:w="11907" w:h="16840" w:orient="portrait"/>
      <w:pgMar w:top="425" w:right="851" w:bottom="541" w:left="1418" w:header="737" w:footer="284" w:gutter="0"/>
      <w:pgNumType w:start="1"/>
      <w:cols w:num="1" w:sep="0" w:space="720" w:equalWidth="1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59B6621"/>
    <w:multiLevelType w:val="hybridMultilevel"/>
    <w:tmpl w:val="00000000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1">
    <w:nsid w:val="0D1453BA"/>
    <w:multiLevelType w:val="hybridMultilevel"/>
    <w:tmpl w:val="00000000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2">
    <w:nsid w:val="1E97B7B5"/>
    <w:multiLevelType w:val="hybridMultilevel"/>
    <w:tmpl w:val="00000000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3">
    <w:nsid w:val="38F2BC79"/>
    <w:multiLevelType w:val="hybridMultilevel"/>
    <w:tmpl w:val="00000000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band1Horz">
      <w:tblPr/>
      <w:tcPr>
        <w:shd w:val="clear" w:color="F2F2F2" w:fill="auto" w:themeColor="text1" w:themeTint="0D"/>
      </w:tcPr>
    </w:tblStylePr>
    <w:tblStylePr w:type="band1Vert">
      <w:tblPr/>
      <w:tcPr>
        <w:shd w:val="clear" w:color="F2F2F2" w:fill="auto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customStyle="1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band1Horz">
      <w:tblPr/>
      <w:tcPr>
        <w:shd w:val="clear" w:color="8A8A8A" w:fill="auto" w:themeColor="text1" w:themeTint="75"/>
      </w:tcPr>
    </w:tblStylePr>
    <w:tblStylePr w:type="band1Vert">
      <w:tblPr/>
      <w:tcPr>
        <w:shd w:val="clear" w:color="8A8A8A" w:fill="auto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1Vert"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rPr>
        <w:b/>
        <w:color w:val="7F7F7F" w:themeColor="text1" w:themeShade="95" w:themeTint="80"/>
      </w:rPr>
    </w:tblStyle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b/>
        <w:color w:val="7F7F7F" w:themeColor="text1" w:themeShade="95" w:themeTint="80"/>
      </w:rPr>
    </w:tblStylePr>
    <w:tblStylePr w:type="lastRow">
      <w:rPr>
        <w:b/>
        <w:color w:val="7F7F7F" w:themeColor="text1" w:themeShade="95" w:themeTint="80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1Vert"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</w:tblPr>
    <w:tblStylePr w:type="band1Horz"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CaptionChar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latyshevava</cp:lastModifiedBy>
  <cp:revision>26</cp:revision>
  <dcterms:created xsi:type="dcterms:W3CDTF">2024-02-06T07:46:00Z</dcterms:created>
  <dcterms:modified xsi:type="dcterms:W3CDTF">2026-09-10T06:02:33Z</dcterms:modified>
</cp:coreProperties>
</file>